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502" w:rsidRPr="00974B63" w:rsidRDefault="00AF3502" w:rsidP="002D26F4">
      <w:pPr>
        <w:pStyle w:val="Ttulo1"/>
        <w:spacing w:before="0"/>
        <w:jc w:val="center"/>
        <w:rPr>
          <w:rFonts w:ascii="Times New Roman" w:hAnsi="Times New Roman"/>
          <w:color w:val="000000" w:themeColor="text1"/>
          <w:sz w:val="24"/>
          <w:szCs w:val="24"/>
        </w:rPr>
      </w:pPr>
      <w:bookmarkStart w:id="0" w:name="_Toc26800366"/>
      <w:r w:rsidRPr="00974B63">
        <w:rPr>
          <w:rFonts w:ascii="Times New Roman" w:hAnsi="Times New Roman"/>
          <w:color w:val="000000" w:themeColor="text1"/>
          <w:sz w:val="24"/>
          <w:szCs w:val="24"/>
        </w:rPr>
        <w:t>DIMENSIONAMENTO DE LINHA DE VIDA HORIZONTAL COM ESTUDO DE CARGA UTILIZANDO ANÁLISE DE ELEMENTOS FINITOS</w:t>
      </w:r>
      <w:bookmarkEnd w:id="0"/>
    </w:p>
    <w:p w:rsidR="00AF3502" w:rsidRPr="00974B63" w:rsidRDefault="00AF3502" w:rsidP="002D26F4">
      <w:pPr>
        <w:jc w:val="right"/>
        <w:rPr>
          <w:color w:val="000000" w:themeColor="text1"/>
          <w:sz w:val="20"/>
        </w:rPr>
      </w:pPr>
    </w:p>
    <w:p w:rsidR="00AF3502" w:rsidRPr="00974B63" w:rsidRDefault="00AF3502" w:rsidP="002D26F4">
      <w:pPr>
        <w:jc w:val="right"/>
        <w:rPr>
          <w:color w:val="000000" w:themeColor="text1"/>
          <w:sz w:val="20"/>
        </w:rPr>
      </w:pPr>
    </w:p>
    <w:p w:rsidR="00AF3502" w:rsidRPr="00974B63" w:rsidRDefault="00AF3502" w:rsidP="002D26F4">
      <w:pPr>
        <w:pStyle w:val="Ttulo"/>
        <w:spacing w:before="0" w:after="0"/>
        <w:rPr>
          <w:rFonts w:ascii="Times New Roman" w:hAnsi="Times New Roman"/>
          <w:b w:val="0"/>
          <w:color w:val="000000" w:themeColor="text1"/>
          <w:sz w:val="20"/>
          <w:szCs w:val="20"/>
        </w:rPr>
      </w:pPr>
      <w:bookmarkStart w:id="1" w:name="_Toc26799904"/>
      <w:bookmarkStart w:id="2" w:name="_Toc26800367"/>
      <w:r w:rsidRPr="00974B63">
        <w:rPr>
          <w:rFonts w:ascii="Times New Roman" w:hAnsi="Times New Roman"/>
          <w:b w:val="0"/>
          <w:color w:val="000000" w:themeColor="text1"/>
          <w:sz w:val="20"/>
          <w:szCs w:val="20"/>
        </w:rPr>
        <w:t>Gilmar Azevedo de</w:t>
      </w:r>
      <w:r w:rsidR="00974B63">
        <w:rPr>
          <w:rFonts w:ascii="Times New Roman" w:hAnsi="Times New Roman"/>
          <w:b w:val="0"/>
          <w:color w:val="000000" w:themeColor="text1"/>
          <w:sz w:val="20"/>
          <w:szCs w:val="20"/>
        </w:rPr>
        <w:t xml:space="preserve"> </w:t>
      </w:r>
      <w:r w:rsidR="00974B63" w:rsidRPr="00974B63">
        <w:rPr>
          <w:rFonts w:ascii="Times New Roman" w:hAnsi="Times New Roman"/>
          <w:b w:val="0"/>
          <w:color w:val="000000" w:themeColor="text1"/>
          <w:sz w:val="20"/>
          <w:szCs w:val="20"/>
        </w:rPr>
        <w:t>Souza</w:t>
      </w:r>
      <w:r w:rsidR="00974B63">
        <w:rPr>
          <w:rFonts w:ascii="Times New Roman" w:hAnsi="Times New Roman"/>
          <w:b w:val="0"/>
          <w:color w:val="000000" w:themeColor="text1"/>
          <w:sz w:val="20"/>
          <w:szCs w:val="20"/>
        </w:rPr>
        <w:t xml:space="preserve"> </w:t>
      </w:r>
      <w:r w:rsidR="00974B63" w:rsidRPr="00974B63">
        <w:rPr>
          <w:rFonts w:ascii="Times New Roman" w:hAnsi="Times New Roman"/>
          <w:b w:val="0"/>
          <w:color w:val="000000" w:themeColor="text1"/>
          <w:sz w:val="20"/>
          <w:szCs w:val="20"/>
        </w:rPr>
        <w:t>Junior</w:t>
      </w:r>
      <w:r w:rsidR="00974B63">
        <w:rPr>
          <w:rFonts w:ascii="Times New Roman" w:hAnsi="Times New Roman"/>
          <w:b w:val="0"/>
          <w:color w:val="000000" w:themeColor="text1"/>
          <w:sz w:val="20"/>
          <w:szCs w:val="20"/>
          <w:vertAlign w:val="superscript"/>
        </w:rPr>
        <w:t>1</w:t>
      </w:r>
      <w:r w:rsidRPr="00974B63">
        <w:rPr>
          <w:rFonts w:ascii="Times New Roman" w:hAnsi="Times New Roman"/>
          <w:b w:val="0"/>
          <w:color w:val="000000" w:themeColor="text1"/>
          <w:sz w:val="20"/>
          <w:szCs w:val="20"/>
        </w:rPr>
        <w:t>;</w:t>
      </w:r>
      <w:r w:rsidR="00974B63">
        <w:rPr>
          <w:rFonts w:ascii="Times New Roman" w:hAnsi="Times New Roman"/>
          <w:b w:val="0"/>
          <w:color w:val="000000" w:themeColor="text1"/>
          <w:sz w:val="20"/>
          <w:szCs w:val="20"/>
        </w:rPr>
        <w:t xml:space="preserve"> </w:t>
      </w:r>
      <w:r w:rsidRPr="00974B63">
        <w:rPr>
          <w:rFonts w:ascii="Times New Roman" w:hAnsi="Times New Roman"/>
          <w:b w:val="0"/>
          <w:color w:val="000000" w:themeColor="text1"/>
          <w:sz w:val="20"/>
          <w:szCs w:val="20"/>
        </w:rPr>
        <w:t>Gustavo Luís Pereira</w:t>
      </w:r>
      <w:r w:rsidR="00974B63">
        <w:rPr>
          <w:rFonts w:ascii="Times New Roman" w:hAnsi="Times New Roman"/>
          <w:b w:val="0"/>
          <w:color w:val="000000" w:themeColor="text1"/>
          <w:sz w:val="20"/>
          <w:szCs w:val="20"/>
        </w:rPr>
        <w:t xml:space="preserve"> </w:t>
      </w:r>
      <w:r w:rsidR="00974B63" w:rsidRPr="00974B63">
        <w:rPr>
          <w:rFonts w:ascii="Times New Roman" w:hAnsi="Times New Roman"/>
          <w:b w:val="0"/>
          <w:color w:val="000000" w:themeColor="text1"/>
          <w:sz w:val="20"/>
          <w:szCs w:val="20"/>
        </w:rPr>
        <w:t>Nico</w:t>
      </w:r>
      <w:r w:rsidR="00974B63">
        <w:rPr>
          <w:rFonts w:ascii="Times New Roman" w:hAnsi="Times New Roman"/>
          <w:b w:val="0"/>
          <w:color w:val="000000" w:themeColor="text1"/>
          <w:sz w:val="20"/>
          <w:szCs w:val="20"/>
          <w:vertAlign w:val="superscript"/>
        </w:rPr>
        <w:t>2</w:t>
      </w:r>
      <w:r w:rsidRPr="00974B63">
        <w:rPr>
          <w:rFonts w:ascii="Times New Roman" w:hAnsi="Times New Roman"/>
          <w:b w:val="0"/>
          <w:color w:val="000000" w:themeColor="text1"/>
          <w:sz w:val="20"/>
          <w:szCs w:val="20"/>
        </w:rPr>
        <w:t xml:space="preserve">; </w:t>
      </w:r>
      <w:r w:rsidR="003F08A3" w:rsidRPr="00974B63">
        <w:rPr>
          <w:rFonts w:ascii="Times New Roman" w:hAnsi="Times New Roman"/>
          <w:b w:val="0"/>
          <w:color w:val="000000" w:themeColor="text1"/>
          <w:sz w:val="20"/>
          <w:szCs w:val="20"/>
        </w:rPr>
        <w:t>Cleiton Silvano</w:t>
      </w:r>
      <w:r w:rsidR="003F08A3">
        <w:rPr>
          <w:rFonts w:ascii="Times New Roman" w:hAnsi="Times New Roman"/>
          <w:b w:val="0"/>
          <w:color w:val="000000" w:themeColor="text1"/>
          <w:sz w:val="20"/>
          <w:szCs w:val="20"/>
        </w:rPr>
        <w:t xml:space="preserve"> </w:t>
      </w:r>
      <w:r w:rsidR="003F08A3" w:rsidRPr="00974B63">
        <w:rPr>
          <w:rFonts w:ascii="Times New Roman" w:hAnsi="Times New Roman"/>
          <w:b w:val="0"/>
          <w:color w:val="000000" w:themeColor="text1"/>
          <w:sz w:val="20"/>
          <w:szCs w:val="20"/>
        </w:rPr>
        <w:t>Goulart</w:t>
      </w:r>
      <w:r w:rsidR="003F08A3">
        <w:rPr>
          <w:rFonts w:ascii="Times New Roman" w:hAnsi="Times New Roman"/>
          <w:b w:val="0"/>
          <w:color w:val="000000" w:themeColor="text1"/>
          <w:sz w:val="20"/>
          <w:szCs w:val="20"/>
          <w:vertAlign w:val="superscript"/>
        </w:rPr>
        <w:t>3</w:t>
      </w:r>
      <w:r w:rsidR="003F08A3">
        <w:rPr>
          <w:rFonts w:ascii="Times New Roman" w:hAnsi="Times New Roman"/>
          <w:b w:val="0"/>
          <w:color w:val="000000" w:themeColor="text1"/>
          <w:sz w:val="20"/>
          <w:szCs w:val="20"/>
        </w:rPr>
        <w:t xml:space="preserve">; </w:t>
      </w:r>
      <w:proofErr w:type="spellStart"/>
      <w:r w:rsidR="003E0AC5">
        <w:rPr>
          <w:rFonts w:ascii="Times New Roman" w:hAnsi="Times New Roman"/>
          <w:b w:val="0"/>
          <w:color w:val="000000" w:themeColor="text1"/>
          <w:sz w:val="20"/>
          <w:szCs w:val="20"/>
        </w:rPr>
        <w:t>Antonio</w:t>
      </w:r>
      <w:proofErr w:type="spellEnd"/>
      <w:r w:rsidR="003E0AC5">
        <w:rPr>
          <w:rFonts w:ascii="Times New Roman" w:hAnsi="Times New Roman"/>
          <w:b w:val="0"/>
          <w:color w:val="000000" w:themeColor="text1"/>
          <w:sz w:val="20"/>
          <w:szCs w:val="20"/>
        </w:rPr>
        <w:t xml:space="preserve"> José D'A</w:t>
      </w:r>
      <w:r w:rsidR="003E0AC5" w:rsidRPr="003E0AC5">
        <w:rPr>
          <w:rFonts w:ascii="Times New Roman" w:hAnsi="Times New Roman"/>
          <w:b w:val="0"/>
          <w:color w:val="000000" w:themeColor="text1"/>
          <w:sz w:val="20"/>
          <w:szCs w:val="20"/>
        </w:rPr>
        <w:t>lmeida Júnio</w:t>
      </w:r>
      <w:r w:rsidR="003E0AC5">
        <w:rPr>
          <w:rFonts w:ascii="Times New Roman" w:hAnsi="Times New Roman"/>
          <w:b w:val="0"/>
          <w:color w:val="000000" w:themeColor="text1"/>
          <w:sz w:val="20"/>
          <w:szCs w:val="20"/>
        </w:rPr>
        <w:t>r</w:t>
      </w:r>
      <w:bookmarkEnd w:id="1"/>
      <w:bookmarkEnd w:id="2"/>
      <w:r w:rsidR="003F08A3">
        <w:rPr>
          <w:rFonts w:ascii="Times New Roman" w:hAnsi="Times New Roman"/>
          <w:b w:val="0"/>
          <w:color w:val="000000" w:themeColor="text1"/>
          <w:sz w:val="20"/>
          <w:szCs w:val="20"/>
          <w:vertAlign w:val="superscript"/>
        </w:rPr>
        <w:t>4</w:t>
      </w:r>
    </w:p>
    <w:p w:rsidR="00AF3502" w:rsidRDefault="00AF3502" w:rsidP="002D26F4">
      <w:pPr>
        <w:jc w:val="right"/>
        <w:rPr>
          <w:color w:val="000000" w:themeColor="text1"/>
          <w:sz w:val="20"/>
        </w:rPr>
      </w:pPr>
    </w:p>
    <w:p w:rsidR="00974B63" w:rsidRDefault="00974B63" w:rsidP="00974B63">
      <w:pPr>
        <w:jc w:val="center"/>
        <w:rPr>
          <w:sz w:val="20"/>
          <w:szCs w:val="20"/>
        </w:rPr>
      </w:pPr>
      <w:r w:rsidRPr="00CE229A">
        <w:rPr>
          <w:sz w:val="20"/>
          <w:vertAlign w:val="superscript"/>
        </w:rPr>
        <w:t>1,2,3</w:t>
      </w:r>
      <w:r w:rsidR="003E0AC5">
        <w:rPr>
          <w:sz w:val="20"/>
          <w:vertAlign w:val="superscript"/>
        </w:rPr>
        <w:t>,4</w:t>
      </w:r>
      <w:r w:rsidRPr="00CE229A">
        <w:rPr>
          <w:sz w:val="20"/>
          <w:szCs w:val="20"/>
        </w:rPr>
        <w:t xml:space="preserve"> Faculdade de Talentos Humanos - FACTHUS, Uberaba (MG), Brasil</w:t>
      </w:r>
    </w:p>
    <w:p w:rsidR="00974B63" w:rsidRPr="00974B63" w:rsidRDefault="00974B63" w:rsidP="00974B63">
      <w:pPr>
        <w:jc w:val="center"/>
        <w:rPr>
          <w:color w:val="000000" w:themeColor="text1"/>
          <w:sz w:val="20"/>
        </w:rPr>
      </w:pPr>
    </w:p>
    <w:p w:rsidR="00AF3502" w:rsidRPr="00974B63" w:rsidRDefault="00AF3502" w:rsidP="00974B63">
      <w:pPr>
        <w:jc w:val="center"/>
        <w:rPr>
          <w:color w:val="000000" w:themeColor="text1"/>
          <w:sz w:val="20"/>
          <w:szCs w:val="20"/>
        </w:rPr>
      </w:pPr>
      <w:r w:rsidRPr="00974B63">
        <w:rPr>
          <w:color w:val="000000" w:themeColor="text1"/>
          <w:sz w:val="20"/>
          <w:szCs w:val="20"/>
        </w:rPr>
        <w:t>gilmarazevedojr@gmail.com</w:t>
      </w:r>
      <w:r w:rsidR="00974B63">
        <w:rPr>
          <w:color w:val="000000" w:themeColor="text1"/>
          <w:sz w:val="20"/>
          <w:szCs w:val="20"/>
        </w:rPr>
        <w:t xml:space="preserve">, </w:t>
      </w:r>
      <w:r w:rsidRPr="00974B63">
        <w:rPr>
          <w:color w:val="000000" w:themeColor="text1"/>
          <w:sz w:val="20"/>
          <w:szCs w:val="20"/>
        </w:rPr>
        <w:t>gustavo.nico@outlook.com</w:t>
      </w:r>
      <w:r w:rsidR="00974B63">
        <w:rPr>
          <w:color w:val="000000" w:themeColor="text1"/>
          <w:sz w:val="20"/>
          <w:szCs w:val="20"/>
        </w:rPr>
        <w:t xml:space="preserve">, </w:t>
      </w:r>
      <w:r w:rsidR="003F08A3" w:rsidRPr="00974B63">
        <w:rPr>
          <w:color w:val="000000" w:themeColor="text1"/>
          <w:sz w:val="20"/>
          <w:szCs w:val="20"/>
        </w:rPr>
        <w:t>cleiton.goulart@facthus.edu.br</w:t>
      </w:r>
      <w:r w:rsidR="003F08A3">
        <w:rPr>
          <w:color w:val="000000" w:themeColor="text1"/>
          <w:sz w:val="20"/>
          <w:szCs w:val="20"/>
        </w:rPr>
        <w:t>,</w:t>
      </w:r>
      <w:r w:rsidR="003F08A3" w:rsidRPr="003E0AC5">
        <w:rPr>
          <w:color w:val="000000" w:themeColor="text1"/>
          <w:sz w:val="20"/>
          <w:szCs w:val="20"/>
        </w:rPr>
        <w:t xml:space="preserve"> </w:t>
      </w:r>
      <w:r w:rsidR="003E0AC5" w:rsidRPr="003E0AC5">
        <w:rPr>
          <w:color w:val="000000" w:themeColor="text1"/>
          <w:sz w:val="20"/>
          <w:szCs w:val="20"/>
        </w:rPr>
        <w:t>ajjunior@facthus.edu.br</w:t>
      </w:r>
    </w:p>
    <w:p w:rsidR="00AF3502" w:rsidRPr="00974B63" w:rsidRDefault="00AF3502" w:rsidP="002D26F4">
      <w:pPr>
        <w:pStyle w:val="Corpodetexto"/>
        <w:spacing w:line="240" w:lineRule="auto"/>
        <w:jc w:val="right"/>
        <w:rPr>
          <w:color w:val="000000" w:themeColor="text1"/>
          <w:sz w:val="20"/>
        </w:rPr>
      </w:pPr>
    </w:p>
    <w:p w:rsidR="00AF3502" w:rsidRPr="00974B63" w:rsidRDefault="00AF3502" w:rsidP="002D26F4">
      <w:pPr>
        <w:jc w:val="both"/>
        <w:rPr>
          <w:color w:val="000000" w:themeColor="text1"/>
        </w:rPr>
      </w:pPr>
      <w:r w:rsidRPr="00974B63">
        <w:rPr>
          <w:b/>
          <w:color w:val="000000" w:themeColor="text1"/>
          <w:sz w:val="20"/>
        </w:rPr>
        <w:t xml:space="preserve">RESUMO: </w:t>
      </w:r>
      <w:r w:rsidRPr="00974B63">
        <w:rPr>
          <w:color w:val="000000" w:themeColor="text1"/>
          <w:sz w:val="20"/>
          <w:szCs w:val="20"/>
        </w:rPr>
        <w:t>Este artigo consiste na verificação do dimensionamento de uma linha de vida horizontal, assim como um estudo do suporte de fixação por meio d</w:t>
      </w:r>
      <w:r w:rsidR="00974B63">
        <w:rPr>
          <w:color w:val="000000" w:themeColor="text1"/>
          <w:sz w:val="20"/>
          <w:szCs w:val="20"/>
        </w:rPr>
        <w:t>a análise de elementos finitos</w:t>
      </w:r>
      <w:r w:rsidRPr="00974B63">
        <w:rPr>
          <w:color w:val="000000" w:themeColor="text1"/>
          <w:sz w:val="20"/>
          <w:szCs w:val="20"/>
        </w:rPr>
        <w:t xml:space="preserve"> utilizando o software </w:t>
      </w:r>
      <w:proofErr w:type="spellStart"/>
      <w:r w:rsidRPr="00974B63">
        <w:rPr>
          <w:i/>
          <w:color w:val="000000" w:themeColor="text1"/>
          <w:sz w:val="20"/>
          <w:szCs w:val="20"/>
        </w:rPr>
        <w:t>SolidWorks</w:t>
      </w:r>
      <w:proofErr w:type="spellEnd"/>
      <w:r w:rsidRPr="00974B63">
        <w:rPr>
          <w:color w:val="000000" w:themeColor="text1"/>
          <w:sz w:val="20"/>
          <w:szCs w:val="20"/>
        </w:rPr>
        <w:t xml:space="preserve">. Por meio deste estudo é possível demonstrar todas as tensões e cargas que esses suportes estão expostos e a sua função na segurança do trabalhador, conferindo ainda se todos esses dispositivos e itens atendem as normas nacionais e internacionais vigentes. O objetivo desse estudo é explicar o funcionamento de uma linha de vida e demonstrar todas as cargas impostas sobre o suporte como também verificar a sua resistência conforme as condições normais de utilização da linha de vida. Para se definir as cargas suportadas primeiramente foi realizado o estudo do projeto de dimensionamento da linha de vida, especificando todos os componentes ali presentes e os requisitos para o seu uso e funcionamento. Posteriormente, foi </w:t>
      </w:r>
      <w:proofErr w:type="gramStart"/>
      <w:r w:rsidRPr="00974B63">
        <w:rPr>
          <w:color w:val="000000" w:themeColor="text1"/>
          <w:sz w:val="20"/>
          <w:szCs w:val="20"/>
        </w:rPr>
        <w:t>feito</w:t>
      </w:r>
      <w:bookmarkStart w:id="3" w:name="_GoBack"/>
      <w:bookmarkEnd w:id="3"/>
      <w:proofErr w:type="gramEnd"/>
      <w:r w:rsidRPr="00974B63">
        <w:rPr>
          <w:color w:val="000000" w:themeColor="text1"/>
          <w:sz w:val="20"/>
          <w:szCs w:val="20"/>
        </w:rPr>
        <w:t xml:space="preserve"> o detalhamento do processo de simulação por </w:t>
      </w:r>
      <w:proofErr w:type="spellStart"/>
      <w:r w:rsidRPr="00974B63">
        <w:rPr>
          <w:color w:val="000000" w:themeColor="text1"/>
          <w:sz w:val="20"/>
          <w:szCs w:val="20"/>
        </w:rPr>
        <w:t>software</w:t>
      </w:r>
      <w:proofErr w:type="spellEnd"/>
      <w:r w:rsidRPr="00974B63">
        <w:rPr>
          <w:color w:val="000000" w:themeColor="text1"/>
          <w:sz w:val="20"/>
          <w:szCs w:val="20"/>
        </w:rPr>
        <w:t xml:space="preserve"> e a análise dos resultados. Como resultado teve-se que o método de elementos finitos comprovou todos os cálculos de projetos feitos anteriormente garantindo o perfeito funcionamento da linha de vida analisada e atendendo critérios técnicos normativos e de segurança. </w:t>
      </w:r>
    </w:p>
    <w:p w:rsidR="00AF3502" w:rsidRPr="00974B63" w:rsidRDefault="00AF3502" w:rsidP="002D26F4">
      <w:pPr>
        <w:pStyle w:val="Corpodetexto"/>
        <w:spacing w:line="240" w:lineRule="auto"/>
        <w:jc w:val="right"/>
        <w:rPr>
          <w:color w:val="000000" w:themeColor="text1"/>
          <w:sz w:val="20"/>
        </w:rPr>
      </w:pPr>
    </w:p>
    <w:p w:rsidR="00AF3502" w:rsidRPr="00974B63" w:rsidRDefault="00AF3502" w:rsidP="002D26F4">
      <w:pPr>
        <w:pStyle w:val="Corpodetexto"/>
        <w:spacing w:line="240" w:lineRule="auto"/>
        <w:rPr>
          <w:color w:val="000000" w:themeColor="text1"/>
          <w:sz w:val="20"/>
        </w:rPr>
      </w:pPr>
      <w:r w:rsidRPr="00974B63">
        <w:rPr>
          <w:b/>
          <w:color w:val="000000" w:themeColor="text1"/>
          <w:sz w:val="20"/>
        </w:rPr>
        <w:t xml:space="preserve">PALAVRAS CHAVE: </w:t>
      </w:r>
      <w:r w:rsidR="00974B63">
        <w:rPr>
          <w:color w:val="000000" w:themeColor="text1"/>
          <w:sz w:val="20"/>
        </w:rPr>
        <w:t>Dimensionamento, Linha de vida,</w:t>
      </w:r>
      <w:r w:rsidRPr="00974B63">
        <w:rPr>
          <w:color w:val="000000" w:themeColor="text1"/>
          <w:sz w:val="20"/>
        </w:rPr>
        <w:t xml:space="preserve"> </w:t>
      </w:r>
      <w:proofErr w:type="spellStart"/>
      <w:r w:rsidRPr="00974B63">
        <w:rPr>
          <w:i/>
          <w:color w:val="000000" w:themeColor="text1"/>
          <w:sz w:val="20"/>
        </w:rPr>
        <w:t>SolidWorks</w:t>
      </w:r>
      <w:proofErr w:type="spellEnd"/>
    </w:p>
    <w:p w:rsidR="00AF3502" w:rsidRPr="00974B63" w:rsidRDefault="00AF3502" w:rsidP="002D26F4">
      <w:pPr>
        <w:jc w:val="right"/>
        <w:rPr>
          <w:noProof/>
          <w:color w:val="000000" w:themeColor="text1"/>
          <w:sz w:val="20"/>
        </w:rPr>
      </w:pPr>
    </w:p>
    <w:p w:rsidR="00AF3502" w:rsidRPr="00974B63" w:rsidRDefault="00AF3502" w:rsidP="002D26F4">
      <w:pPr>
        <w:jc w:val="center"/>
        <w:rPr>
          <w:b/>
          <w:i/>
          <w:color w:val="000000" w:themeColor="text1"/>
          <w:sz w:val="20"/>
          <w:szCs w:val="20"/>
          <w:lang w:val="en-US"/>
        </w:rPr>
      </w:pPr>
      <w:r w:rsidRPr="00974B63">
        <w:rPr>
          <w:b/>
          <w:i/>
          <w:color w:val="000000" w:themeColor="text1"/>
          <w:sz w:val="20"/>
          <w:szCs w:val="20"/>
          <w:lang w:val="en-US"/>
        </w:rPr>
        <w:t>DESIGN OF A HORIZONTAL LIFELINE WITH LOAD STUDY USING FINITE ELEMENT ANALYSIS</w:t>
      </w:r>
    </w:p>
    <w:p w:rsidR="00AF3502" w:rsidRPr="00974B63" w:rsidRDefault="00AF3502" w:rsidP="002D26F4">
      <w:pPr>
        <w:jc w:val="right"/>
        <w:rPr>
          <w:noProof/>
          <w:color w:val="000000" w:themeColor="text1"/>
          <w:sz w:val="20"/>
          <w:lang w:val="en-US"/>
        </w:rPr>
      </w:pPr>
    </w:p>
    <w:p w:rsidR="00AF3502" w:rsidRPr="00974B63" w:rsidRDefault="00AF3502" w:rsidP="002D26F4">
      <w:pPr>
        <w:jc w:val="both"/>
        <w:rPr>
          <w:i/>
          <w:color w:val="000000" w:themeColor="text1"/>
          <w:sz w:val="20"/>
          <w:lang w:val="en-US"/>
        </w:rPr>
      </w:pPr>
      <w:r w:rsidRPr="00974B63">
        <w:rPr>
          <w:b/>
          <w:i/>
          <w:noProof/>
          <w:color w:val="000000" w:themeColor="text1"/>
          <w:sz w:val="20"/>
          <w:lang w:val="en-US"/>
        </w:rPr>
        <w:t>ABSTRACT:</w:t>
      </w:r>
      <w:r w:rsidRPr="00974B63">
        <w:rPr>
          <w:color w:val="000000" w:themeColor="text1"/>
          <w:lang w:val="en-US"/>
        </w:rPr>
        <w:t xml:space="preserve"> </w:t>
      </w:r>
      <w:r w:rsidRPr="00974B63">
        <w:rPr>
          <w:i/>
          <w:noProof/>
          <w:color w:val="000000" w:themeColor="text1"/>
          <w:sz w:val="20"/>
          <w:lang w:val="en-US"/>
        </w:rPr>
        <w:t>This paper consists of verifying the design of a horizontal lifeline, as well as a study of the fixture support through Finite Element Analysis using SolidWorks software, thus ensuring and demonstrating all stresses and loads that these supports are exposed and their role in worker safety, also checking whether all these devices and items comply with current national and international standards. The aim of this study is to explain the functioning of a lifeline and to demonstrate all loads imposed on the support as well as to verify its resistance according to normal conditions of use of the lifeline. In order to define the supported loads, the study of the design of the lifeline was carried out, specifying all components present and the requirements for its use and operation. Subsequently, the software simulation process was detailed and the results analyzed. As a result it was found that the finite element method proved all previous design calculations ensuring the perfect functioning of the analyzed lifeline and meeting safety and regulatory technical criteria.</w:t>
      </w:r>
      <w:r w:rsidRPr="00974B63">
        <w:rPr>
          <w:noProof/>
          <w:color w:val="000000" w:themeColor="text1"/>
          <w:sz w:val="20"/>
          <w:lang w:val="en-US"/>
        </w:rPr>
        <w:t xml:space="preserve"> </w:t>
      </w:r>
    </w:p>
    <w:p w:rsidR="00AF3502" w:rsidRPr="00C44B24" w:rsidRDefault="00AF3502" w:rsidP="002D26F4">
      <w:pPr>
        <w:jc w:val="right"/>
        <w:rPr>
          <w:noProof/>
          <w:color w:val="FFFFFF"/>
          <w:sz w:val="20"/>
          <w:lang w:val="en-US"/>
        </w:rPr>
      </w:pPr>
      <w:r w:rsidRPr="00C44B24">
        <w:rPr>
          <w:noProof/>
          <w:color w:val="FFFFFF"/>
          <w:sz w:val="20"/>
          <w:lang w:val="en-US"/>
        </w:rPr>
        <w:t>(um espaço)</w:t>
      </w:r>
    </w:p>
    <w:p w:rsidR="00AF3502" w:rsidRPr="003D14A0" w:rsidRDefault="00AF3502" w:rsidP="002D26F4">
      <w:pPr>
        <w:jc w:val="both"/>
        <w:rPr>
          <w:i/>
          <w:noProof/>
          <w:sz w:val="20"/>
          <w:lang w:val="en-US"/>
        </w:rPr>
      </w:pPr>
      <w:r w:rsidRPr="003D14A0">
        <w:rPr>
          <w:b/>
          <w:i/>
          <w:sz w:val="20"/>
          <w:lang w:val="en-US"/>
        </w:rPr>
        <w:t xml:space="preserve">KEYWORDS: </w:t>
      </w:r>
      <w:r w:rsidRPr="003D14A0">
        <w:rPr>
          <w:i/>
          <w:sz w:val="20"/>
          <w:lang w:val="en-US"/>
        </w:rPr>
        <w:t>Lifeline</w:t>
      </w:r>
      <w:r w:rsidR="00974B63" w:rsidRPr="003D14A0">
        <w:rPr>
          <w:i/>
          <w:sz w:val="20"/>
          <w:lang w:val="en-US"/>
        </w:rPr>
        <w:t>,</w:t>
      </w:r>
      <w:r w:rsidRPr="003D14A0">
        <w:rPr>
          <w:i/>
          <w:sz w:val="20"/>
          <w:lang w:val="en-US"/>
        </w:rPr>
        <w:t xml:space="preserve"> Sizing</w:t>
      </w:r>
      <w:r w:rsidR="00974B63" w:rsidRPr="003D14A0">
        <w:rPr>
          <w:i/>
          <w:sz w:val="20"/>
          <w:lang w:val="en-US"/>
        </w:rPr>
        <w:t>,</w:t>
      </w:r>
      <w:r w:rsidRPr="003D14A0">
        <w:rPr>
          <w:i/>
          <w:sz w:val="20"/>
          <w:lang w:val="en-US"/>
        </w:rPr>
        <w:t xml:space="preserve"> SolidWorks</w:t>
      </w:r>
    </w:p>
    <w:p w:rsidR="00AF3502" w:rsidRPr="003D14A0" w:rsidRDefault="00AF3502" w:rsidP="002D26F4">
      <w:pPr>
        <w:ind w:left="-720"/>
        <w:jc w:val="right"/>
        <w:rPr>
          <w:noProof/>
          <w:color w:val="FF0000"/>
          <w:sz w:val="20"/>
          <w:lang w:val="en-US"/>
        </w:rPr>
      </w:pPr>
    </w:p>
    <w:p w:rsidR="00AF3502" w:rsidRPr="003D14A0" w:rsidRDefault="00AF3502" w:rsidP="002D26F4">
      <w:pPr>
        <w:ind w:left="-720"/>
        <w:jc w:val="right"/>
        <w:rPr>
          <w:b/>
          <w:noProof/>
          <w:color w:val="FF0000"/>
          <w:sz w:val="20"/>
          <w:lang w:val="en-US"/>
        </w:rPr>
        <w:sectPr w:rsidR="00AF3502" w:rsidRPr="003D14A0" w:rsidSect="0031620B">
          <w:headerReference w:type="default" r:id="rId7"/>
          <w:footerReference w:type="default" r:id="rId8"/>
          <w:type w:val="continuous"/>
          <w:pgSz w:w="11906" w:h="16838"/>
          <w:pgMar w:top="1418" w:right="1021" w:bottom="1418" w:left="1021" w:header="709" w:footer="709" w:gutter="0"/>
          <w:pgNumType w:start="16"/>
          <w:cols w:space="708"/>
          <w:docGrid w:linePitch="360"/>
        </w:sectPr>
      </w:pPr>
    </w:p>
    <w:p w:rsidR="00AF3502" w:rsidRPr="00CF0E44" w:rsidRDefault="00AF3502" w:rsidP="002D26F4">
      <w:pPr>
        <w:jc w:val="center"/>
        <w:rPr>
          <w:b/>
          <w:sz w:val="20"/>
          <w:szCs w:val="20"/>
        </w:rPr>
      </w:pPr>
      <w:r w:rsidRPr="00CF0E44">
        <w:rPr>
          <w:b/>
          <w:sz w:val="20"/>
          <w:szCs w:val="20"/>
        </w:rPr>
        <w:lastRenderedPageBreak/>
        <w:t>INTRODUÇÃO</w:t>
      </w:r>
    </w:p>
    <w:p w:rsidR="00AF3502" w:rsidRDefault="00AF3502" w:rsidP="002D26F4">
      <w:pPr>
        <w:jc w:val="right"/>
        <w:rPr>
          <w:noProof/>
          <w:color w:val="FF0000"/>
          <w:sz w:val="20"/>
        </w:rPr>
      </w:pPr>
    </w:p>
    <w:p w:rsidR="00AF3502" w:rsidRDefault="00AF3502" w:rsidP="002D26F4">
      <w:pPr>
        <w:ind w:firstLine="567"/>
        <w:jc w:val="both"/>
        <w:rPr>
          <w:sz w:val="20"/>
          <w:szCs w:val="20"/>
        </w:rPr>
      </w:pPr>
      <w:r w:rsidRPr="0080410B">
        <w:rPr>
          <w:sz w:val="20"/>
          <w:szCs w:val="20"/>
        </w:rPr>
        <w:t xml:space="preserve">A linha de vida consiste em um cabo ou corda, horizontal ou vertical </w:t>
      </w:r>
      <w:r>
        <w:rPr>
          <w:sz w:val="20"/>
          <w:szCs w:val="20"/>
        </w:rPr>
        <w:t>que ancora o operador através do mosquetão ao cinto de segurança para proteger o trabalhador quando este trabalhar em altura (CBIC, 2017). A linha de vida se torna um item de segurança obrigatório de acordo com a Norma Regulamentadora (NR) 35 acima de dois metros de altura (BRASIL, 2015).</w:t>
      </w:r>
    </w:p>
    <w:p w:rsidR="00AF3502" w:rsidRDefault="00AF3502" w:rsidP="002D26F4">
      <w:pPr>
        <w:ind w:firstLine="567"/>
        <w:jc w:val="both"/>
        <w:rPr>
          <w:sz w:val="20"/>
          <w:szCs w:val="20"/>
        </w:rPr>
      </w:pPr>
      <w:r>
        <w:rPr>
          <w:sz w:val="20"/>
          <w:szCs w:val="20"/>
        </w:rPr>
        <w:t>Foram registrados 549.405 acidentes de trabalho no ano de 2017. Estes números representam uma queda de 6,19% em relação a 2016 com 585.626 registros (AEAT, 2017). Ainda segundo o Ministério do Trabalho (2018), as quedas representaram um total de 10,6% dos acidentes informados pelas empresas ao Instituto Nacional do Seguro Social (INSS) no mesmo ano.</w:t>
      </w:r>
    </w:p>
    <w:p w:rsidR="00AF3502" w:rsidRDefault="00AF3502" w:rsidP="002D26F4">
      <w:pPr>
        <w:ind w:firstLine="567"/>
        <w:jc w:val="both"/>
        <w:rPr>
          <w:sz w:val="20"/>
          <w:szCs w:val="20"/>
        </w:rPr>
      </w:pPr>
      <w:r>
        <w:rPr>
          <w:sz w:val="20"/>
          <w:szCs w:val="20"/>
        </w:rPr>
        <w:t xml:space="preserve">Existe um número muito alto de construções, edificações e indústrias que não apresentam projetos para instalação de sistemas de proteção para trabalho em altura ou apresentam projetos com mau dimensionamento do </w:t>
      </w:r>
      <w:r>
        <w:rPr>
          <w:sz w:val="20"/>
          <w:szCs w:val="20"/>
        </w:rPr>
        <w:lastRenderedPageBreak/>
        <w:t>mesmo, devido a isso muitos acidentes ocorrem principalmente com linhas de vida e pontos ancoragem (CBIC, 2017). Levando em consideração ainda que se tem um total gasto de 11 bilhões de reais pagos pela Previdência Social para trabalhadores que sofreram algum tipo de acidente de trabalho (MT, 2015).</w:t>
      </w:r>
    </w:p>
    <w:p w:rsidR="00AF3502" w:rsidRDefault="00AF3502" w:rsidP="002D26F4">
      <w:pPr>
        <w:ind w:firstLine="567"/>
        <w:jc w:val="both"/>
        <w:rPr>
          <w:sz w:val="20"/>
          <w:szCs w:val="20"/>
        </w:rPr>
      </w:pPr>
      <w:r>
        <w:rPr>
          <w:sz w:val="20"/>
          <w:szCs w:val="20"/>
        </w:rPr>
        <w:t>Diante deste cenário é necessário que o projeto da estrutura da linha de vida seja elaborado de forma consciente para o completo atendimento aos requisitos estruturais e legais. O Guia Prático para Cálculo de Linha de Vida e Restrição para a Indústria da Construção (CBIC, 2017) é usado como auxílio para o dimensionamento de equipamentos de proteção coletiva contra quedas e acidentes em altura, sendo destinado também a reduzir ou eliminar o risco de acidentes.</w:t>
      </w:r>
    </w:p>
    <w:p w:rsidR="00AF3502" w:rsidRPr="0080410B" w:rsidRDefault="00AF3502" w:rsidP="002D26F4">
      <w:pPr>
        <w:ind w:firstLine="567"/>
        <w:jc w:val="both"/>
        <w:rPr>
          <w:sz w:val="20"/>
          <w:szCs w:val="20"/>
        </w:rPr>
      </w:pPr>
      <w:r>
        <w:rPr>
          <w:sz w:val="20"/>
          <w:szCs w:val="20"/>
        </w:rPr>
        <w:t>O presente artigo consistiu</w:t>
      </w:r>
      <w:r w:rsidRPr="00715CF2">
        <w:rPr>
          <w:sz w:val="20"/>
          <w:szCs w:val="20"/>
        </w:rPr>
        <w:t xml:space="preserve"> </w:t>
      </w:r>
      <w:r>
        <w:rPr>
          <w:sz w:val="20"/>
          <w:szCs w:val="20"/>
        </w:rPr>
        <w:t xml:space="preserve">na verificação da abordagem de </w:t>
      </w:r>
      <w:r w:rsidRPr="00715CF2">
        <w:rPr>
          <w:sz w:val="20"/>
          <w:szCs w:val="20"/>
        </w:rPr>
        <w:t>projet</w:t>
      </w:r>
      <w:r>
        <w:rPr>
          <w:sz w:val="20"/>
          <w:szCs w:val="20"/>
        </w:rPr>
        <w:t xml:space="preserve">o proposta no Guia Prático para Cálculo de Linha de Vida e Restrição para a Indústria da Construção (CBIC, 2017), por meio de simulação computacional empregando o software </w:t>
      </w:r>
      <w:proofErr w:type="spellStart"/>
      <w:r w:rsidRPr="00E231E1">
        <w:rPr>
          <w:i/>
          <w:sz w:val="20"/>
          <w:szCs w:val="20"/>
        </w:rPr>
        <w:t>SolidWorks</w:t>
      </w:r>
      <w:proofErr w:type="spellEnd"/>
      <w:r>
        <w:rPr>
          <w:sz w:val="20"/>
          <w:szCs w:val="20"/>
        </w:rPr>
        <w:t xml:space="preserve">. Além disto, este </w:t>
      </w:r>
      <w:r>
        <w:rPr>
          <w:sz w:val="20"/>
          <w:szCs w:val="20"/>
        </w:rPr>
        <w:lastRenderedPageBreak/>
        <w:t>trabalho analisou as cargas atuantes nos suportes de fixação da linha de vida, assunto que não é tratado de forma clara no referido guia. Como resultados esperados</w:t>
      </w:r>
      <w:r>
        <w:rPr>
          <w:sz w:val="20"/>
        </w:rPr>
        <w:t xml:space="preserve"> teve-se </w:t>
      </w:r>
      <w:r>
        <w:rPr>
          <w:sz w:val="20"/>
          <w:szCs w:val="20"/>
        </w:rPr>
        <w:t>a resposta das tensões de impacto causado pelo trabalhador no momento da queda na estrutura da linha de vida.</w:t>
      </w:r>
    </w:p>
    <w:p w:rsidR="00AF3502" w:rsidRDefault="00AF3502" w:rsidP="002D26F4">
      <w:pPr>
        <w:ind w:firstLine="567"/>
        <w:jc w:val="right"/>
        <w:rPr>
          <w:noProof/>
          <w:color w:val="FF0000"/>
          <w:sz w:val="20"/>
        </w:rPr>
      </w:pPr>
      <w:r>
        <w:rPr>
          <w:noProof/>
          <w:color w:val="FF0000"/>
          <w:sz w:val="20"/>
        </w:rPr>
        <w:t xml:space="preserve"> </w:t>
      </w:r>
    </w:p>
    <w:p w:rsidR="00AF3502" w:rsidRPr="00CF0E44" w:rsidRDefault="00AF3502" w:rsidP="002D26F4">
      <w:pPr>
        <w:jc w:val="center"/>
        <w:rPr>
          <w:b/>
          <w:sz w:val="20"/>
          <w:szCs w:val="20"/>
        </w:rPr>
      </w:pPr>
      <w:r w:rsidRPr="00CF0E44">
        <w:rPr>
          <w:b/>
          <w:sz w:val="20"/>
          <w:szCs w:val="20"/>
        </w:rPr>
        <w:t>MATERIAL E MÉTODOS</w:t>
      </w:r>
    </w:p>
    <w:p w:rsidR="00AF3502" w:rsidRDefault="00AF3502" w:rsidP="002D26F4">
      <w:pPr>
        <w:jc w:val="both"/>
        <w:rPr>
          <w:noProof/>
          <w:color w:val="FF0000"/>
          <w:sz w:val="20"/>
        </w:rPr>
      </w:pPr>
    </w:p>
    <w:p w:rsidR="00AF3502" w:rsidRPr="007A7E38" w:rsidRDefault="00AF3502" w:rsidP="002D26F4">
      <w:pPr>
        <w:ind w:firstLine="567"/>
        <w:jc w:val="both"/>
        <w:rPr>
          <w:sz w:val="20"/>
        </w:rPr>
      </w:pPr>
      <w:r w:rsidRPr="007A7E38">
        <w:rPr>
          <w:sz w:val="20"/>
        </w:rPr>
        <w:t>Para verificar a validade do método de dimensionamento de lin</w:t>
      </w:r>
      <w:r>
        <w:rPr>
          <w:sz w:val="20"/>
        </w:rPr>
        <w:t xml:space="preserve">ha de vida foi utilizado como </w:t>
      </w:r>
      <w:r w:rsidRPr="007A7E38">
        <w:rPr>
          <w:sz w:val="20"/>
        </w:rPr>
        <w:t xml:space="preserve">referência o exemplo </w:t>
      </w:r>
      <w:r>
        <w:rPr>
          <w:sz w:val="20"/>
        </w:rPr>
        <w:t xml:space="preserve">2.3.4.4 do </w:t>
      </w:r>
      <w:r>
        <w:rPr>
          <w:sz w:val="20"/>
          <w:szCs w:val="20"/>
        </w:rPr>
        <w:t>Guia Prático para Cálculo de Linha de Vida e Restrição para a Indústria da Construção (CBIC, 2017</w:t>
      </w:r>
      <w:r w:rsidRPr="007A7E38">
        <w:rPr>
          <w:sz w:val="20"/>
        </w:rPr>
        <w:t>)</w:t>
      </w:r>
      <w:r>
        <w:rPr>
          <w:sz w:val="20"/>
        </w:rPr>
        <w:t>.</w:t>
      </w:r>
      <w:r w:rsidRPr="007A7E38">
        <w:rPr>
          <w:sz w:val="20"/>
        </w:rPr>
        <w:t xml:space="preserve"> Este exemplo foi recalculado utilizando os critérios de </w:t>
      </w:r>
      <w:r>
        <w:rPr>
          <w:sz w:val="20"/>
        </w:rPr>
        <w:t>d</w:t>
      </w:r>
      <w:r w:rsidRPr="007A7E38">
        <w:rPr>
          <w:sz w:val="20"/>
        </w:rPr>
        <w:t>imensionamento de linha de vida horizontal flexível</w:t>
      </w:r>
      <w:r>
        <w:rPr>
          <w:sz w:val="20"/>
        </w:rPr>
        <w:t>. Estes cálculos foram validados</w:t>
      </w:r>
      <w:r w:rsidRPr="007A7E38">
        <w:rPr>
          <w:sz w:val="20"/>
        </w:rPr>
        <w:t xml:space="preserve"> </w:t>
      </w:r>
      <w:r>
        <w:rPr>
          <w:sz w:val="20"/>
        </w:rPr>
        <w:t xml:space="preserve">por meio de simulação computacional </w:t>
      </w:r>
      <w:r w:rsidRPr="007A7E38">
        <w:rPr>
          <w:sz w:val="20"/>
        </w:rPr>
        <w:t xml:space="preserve">usando software </w:t>
      </w:r>
      <w:proofErr w:type="spellStart"/>
      <w:r w:rsidRPr="00E231E1">
        <w:rPr>
          <w:i/>
          <w:sz w:val="20"/>
        </w:rPr>
        <w:t>SolidWorks</w:t>
      </w:r>
      <w:proofErr w:type="spellEnd"/>
      <w:r w:rsidRPr="007A7E38">
        <w:rPr>
          <w:sz w:val="20"/>
        </w:rPr>
        <w:t xml:space="preserve"> versão 2018 </w:t>
      </w:r>
      <w:r w:rsidRPr="00E231E1">
        <w:rPr>
          <w:i/>
          <w:sz w:val="20"/>
        </w:rPr>
        <w:t>Service Pack</w:t>
      </w:r>
      <w:r w:rsidRPr="007A7E38">
        <w:rPr>
          <w:sz w:val="20"/>
        </w:rPr>
        <w:t xml:space="preserve"> 5. A simulação utilizou de análise de elementos finitos (FEA), tendo como base a teoria</w:t>
      </w:r>
      <w:r>
        <w:rPr>
          <w:sz w:val="20"/>
        </w:rPr>
        <w:t xml:space="preserve"> da máxima energia de distorção </w:t>
      </w:r>
      <w:r w:rsidRPr="007A7E38">
        <w:rPr>
          <w:sz w:val="20"/>
        </w:rPr>
        <w:t>também conhecida c</w:t>
      </w:r>
      <w:r>
        <w:rPr>
          <w:sz w:val="20"/>
        </w:rPr>
        <w:t>omo teoria de Von Misses-</w:t>
      </w:r>
      <w:proofErr w:type="spellStart"/>
      <w:r>
        <w:rPr>
          <w:sz w:val="20"/>
        </w:rPr>
        <w:t>Hencky</w:t>
      </w:r>
      <w:proofErr w:type="spellEnd"/>
      <w:r>
        <w:rPr>
          <w:sz w:val="20"/>
        </w:rPr>
        <w:t xml:space="preserve"> (NORTON, 2007)</w:t>
      </w:r>
      <w:r w:rsidRPr="007A7E38">
        <w:rPr>
          <w:sz w:val="20"/>
        </w:rPr>
        <w:t>.</w:t>
      </w:r>
    </w:p>
    <w:p w:rsidR="00AF3502" w:rsidRDefault="00AF3502" w:rsidP="002D26F4">
      <w:pPr>
        <w:ind w:firstLine="567"/>
        <w:jc w:val="both"/>
        <w:rPr>
          <w:sz w:val="20"/>
        </w:rPr>
      </w:pPr>
      <w:r w:rsidRPr="007A7E38">
        <w:rPr>
          <w:sz w:val="20"/>
        </w:rPr>
        <w:t xml:space="preserve">Para os critérios de simulação os suportes foram usados como copos sólidos de segunda ordem e alta qualidade, o </w:t>
      </w:r>
      <w:r>
        <w:rPr>
          <w:sz w:val="20"/>
        </w:rPr>
        <w:t xml:space="preserve">tipo de fixação de geometria fixa; </w:t>
      </w:r>
      <w:r w:rsidRPr="007A7E38">
        <w:rPr>
          <w:sz w:val="20"/>
        </w:rPr>
        <w:t>para os p</w:t>
      </w:r>
      <w:r>
        <w:rPr>
          <w:sz w:val="20"/>
        </w:rPr>
        <w:t>arâmetros da malha foi utilizada</w:t>
      </w:r>
      <w:r w:rsidRPr="007A7E38">
        <w:rPr>
          <w:sz w:val="20"/>
        </w:rPr>
        <w:t xml:space="preserve"> malha mesclada com</w:t>
      </w:r>
      <w:r>
        <w:rPr>
          <w:sz w:val="20"/>
        </w:rPr>
        <w:t xml:space="preserve"> base em curvatura contendo 6 graus</w:t>
      </w:r>
      <w:r w:rsidRPr="007A7E38">
        <w:rPr>
          <w:sz w:val="20"/>
        </w:rPr>
        <w:t xml:space="preserve"> de liberdade (</w:t>
      </w:r>
      <w:r>
        <w:rPr>
          <w:sz w:val="20"/>
        </w:rPr>
        <w:t>3 de translação e 3 de rotação)</w:t>
      </w:r>
      <w:r w:rsidRPr="007A7E38">
        <w:rPr>
          <w:sz w:val="20"/>
        </w:rPr>
        <w:t xml:space="preserve"> com posicionamento avançado de 4 pontos, também foi considerado um fator de segurança de 2 a 3, conforme</w:t>
      </w:r>
      <w:r>
        <w:rPr>
          <w:sz w:val="20"/>
        </w:rPr>
        <w:t xml:space="preserve"> nos informa a Norma Brasileira (NBR) </w:t>
      </w:r>
      <w:r w:rsidRPr="007A7E38">
        <w:rPr>
          <w:sz w:val="20"/>
        </w:rPr>
        <w:t>16325-2</w:t>
      </w:r>
      <w:r>
        <w:rPr>
          <w:sz w:val="20"/>
        </w:rPr>
        <w:t xml:space="preserve"> (ABNT, 2014). </w:t>
      </w:r>
      <w:r w:rsidRPr="009128C5">
        <w:rPr>
          <w:sz w:val="20"/>
        </w:rPr>
        <w:t xml:space="preserve">Além disto, no apêndice </w:t>
      </w:r>
      <w:r>
        <w:rPr>
          <w:sz w:val="20"/>
        </w:rPr>
        <w:t>A</w:t>
      </w:r>
      <w:r w:rsidRPr="009128C5">
        <w:rPr>
          <w:sz w:val="20"/>
        </w:rPr>
        <w:t xml:space="preserve"> consta o desenho técnico com as principais dimensões deste suporte.</w:t>
      </w:r>
    </w:p>
    <w:p w:rsidR="00AF3502" w:rsidRDefault="00AF3502" w:rsidP="002D26F4">
      <w:pPr>
        <w:ind w:firstLine="567"/>
        <w:jc w:val="both"/>
        <w:rPr>
          <w:sz w:val="20"/>
        </w:rPr>
      </w:pPr>
      <w:r>
        <w:rPr>
          <w:sz w:val="20"/>
        </w:rPr>
        <w:t xml:space="preserve">A força máxima utilizada para cálculo foi de 600 kgf (quilogramas-força) conforme indicado pela normativa europeia </w:t>
      </w:r>
      <w:r w:rsidRPr="009128C5">
        <w:rPr>
          <w:sz w:val="20"/>
        </w:rPr>
        <w:t>EN-795</w:t>
      </w:r>
      <w:r>
        <w:rPr>
          <w:sz w:val="20"/>
        </w:rPr>
        <w:t xml:space="preserve"> (BRITISH STANDARD, 2012) como força de impacto máximo a ser transmitida ao trabalhador.</w:t>
      </w:r>
    </w:p>
    <w:p w:rsidR="00AF3502" w:rsidRDefault="00AF3502" w:rsidP="002D26F4">
      <w:pPr>
        <w:ind w:firstLine="567"/>
        <w:jc w:val="both"/>
        <w:rPr>
          <w:sz w:val="20"/>
        </w:rPr>
      </w:pPr>
    </w:p>
    <w:p w:rsidR="00AF3502" w:rsidRPr="003E7942" w:rsidRDefault="00AF3502" w:rsidP="002D26F4">
      <w:pPr>
        <w:jc w:val="center"/>
        <w:rPr>
          <w:b/>
          <w:noProof/>
          <w:sz w:val="20"/>
          <w:lang w:val="x-none" w:eastAsia="x-none"/>
        </w:rPr>
      </w:pPr>
      <w:r w:rsidRPr="003E7942">
        <w:rPr>
          <w:b/>
          <w:noProof/>
          <w:sz w:val="20"/>
          <w:lang w:val="x-none" w:eastAsia="x-none"/>
        </w:rPr>
        <w:t>RESULTADOS E DISCUSSÃO</w:t>
      </w:r>
    </w:p>
    <w:p w:rsidR="00AF3502" w:rsidRDefault="00AF3502" w:rsidP="002D26F4">
      <w:pPr>
        <w:ind w:firstLine="567"/>
        <w:jc w:val="center"/>
      </w:pPr>
    </w:p>
    <w:p w:rsidR="00AF3502" w:rsidRPr="009C2BE3" w:rsidRDefault="00AF3502" w:rsidP="002D26F4">
      <w:pPr>
        <w:ind w:firstLine="567"/>
        <w:jc w:val="both"/>
        <w:rPr>
          <w:sz w:val="20"/>
          <w:szCs w:val="20"/>
        </w:rPr>
      </w:pPr>
      <w:r w:rsidRPr="009C2BE3">
        <w:rPr>
          <w:sz w:val="20"/>
          <w:szCs w:val="20"/>
        </w:rPr>
        <w:t>A linha de vida horizontal é um equipamento de proteção coletiva ou individual, que tem como objetivo servir de último ponto de ancoragem para o operador em caso de queda. Deve-se ressaltar que se tratando de segurança do trabalho o ato da queda do operador</w:t>
      </w:r>
      <w:r>
        <w:rPr>
          <w:sz w:val="20"/>
          <w:szCs w:val="20"/>
        </w:rPr>
        <w:t xml:space="preserve"> já</w:t>
      </w:r>
      <w:r w:rsidRPr="009C2BE3">
        <w:rPr>
          <w:sz w:val="20"/>
          <w:szCs w:val="20"/>
        </w:rPr>
        <w:t xml:space="preserve"> é considerado um acidente de trabalho. Portanto a linha de vida </w:t>
      </w:r>
      <w:proofErr w:type="gramStart"/>
      <w:r w:rsidR="00456DD9" w:rsidRPr="009C2BE3">
        <w:rPr>
          <w:sz w:val="20"/>
          <w:szCs w:val="20"/>
        </w:rPr>
        <w:t>tende</w:t>
      </w:r>
      <w:proofErr w:type="gramEnd"/>
      <w:r w:rsidR="00456DD9" w:rsidRPr="009C2BE3">
        <w:rPr>
          <w:sz w:val="20"/>
          <w:szCs w:val="20"/>
        </w:rPr>
        <w:t xml:space="preserve"> </w:t>
      </w:r>
      <w:r>
        <w:rPr>
          <w:sz w:val="20"/>
          <w:szCs w:val="20"/>
        </w:rPr>
        <w:t xml:space="preserve">minimizar </w:t>
      </w:r>
      <w:r w:rsidRPr="009C2BE3">
        <w:rPr>
          <w:sz w:val="20"/>
          <w:szCs w:val="20"/>
        </w:rPr>
        <w:t>mortes e lesões incapacitantes</w:t>
      </w:r>
      <w:r>
        <w:rPr>
          <w:sz w:val="20"/>
          <w:szCs w:val="20"/>
        </w:rPr>
        <w:t xml:space="preserve"> (CBIC, 2017).</w:t>
      </w:r>
    </w:p>
    <w:p w:rsidR="00AF3502" w:rsidRPr="00B45279" w:rsidRDefault="00AF3502" w:rsidP="002D26F4">
      <w:pPr>
        <w:ind w:firstLine="567"/>
        <w:jc w:val="both"/>
        <w:rPr>
          <w:sz w:val="20"/>
          <w:szCs w:val="20"/>
        </w:rPr>
      </w:pPr>
      <w:r w:rsidRPr="009C2BE3">
        <w:rPr>
          <w:sz w:val="20"/>
          <w:szCs w:val="20"/>
        </w:rPr>
        <w:t>A Linha de vida</w:t>
      </w:r>
      <w:r>
        <w:rPr>
          <w:sz w:val="20"/>
          <w:szCs w:val="20"/>
        </w:rPr>
        <w:t xml:space="preserve"> horizontal ou vertical</w:t>
      </w:r>
      <w:r w:rsidRPr="009C2BE3">
        <w:rPr>
          <w:sz w:val="20"/>
          <w:szCs w:val="20"/>
        </w:rPr>
        <w:t xml:space="preserve"> pode ser construída utilizando cabo de aço ou corda. </w:t>
      </w:r>
      <w:r>
        <w:rPr>
          <w:sz w:val="20"/>
          <w:szCs w:val="20"/>
        </w:rPr>
        <w:t>Em linhas de vida fabricadas</w:t>
      </w:r>
      <w:r w:rsidRPr="009C2BE3">
        <w:rPr>
          <w:sz w:val="20"/>
          <w:szCs w:val="20"/>
        </w:rPr>
        <w:t xml:space="preserve"> com corda a mesma deve ser submetida a ensaios conforme</w:t>
      </w:r>
      <w:r>
        <w:rPr>
          <w:sz w:val="20"/>
          <w:szCs w:val="20"/>
        </w:rPr>
        <w:t xml:space="preserve"> a</w:t>
      </w:r>
      <w:r w:rsidRPr="009C2BE3">
        <w:rPr>
          <w:sz w:val="20"/>
          <w:szCs w:val="20"/>
        </w:rPr>
        <w:t xml:space="preserve"> </w:t>
      </w:r>
      <w:r>
        <w:rPr>
          <w:sz w:val="20"/>
          <w:szCs w:val="20"/>
        </w:rPr>
        <w:t xml:space="preserve">norma da Organização Internacional de Normatização (ISO) NBR </w:t>
      </w:r>
      <w:r w:rsidRPr="009C2BE3">
        <w:rPr>
          <w:sz w:val="20"/>
          <w:szCs w:val="20"/>
        </w:rPr>
        <w:t>2307</w:t>
      </w:r>
      <w:r>
        <w:rPr>
          <w:sz w:val="20"/>
          <w:szCs w:val="20"/>
        </w:rPr>
        <w:t xml:space="preserve"> (ABNT, 2012</w:t>
      </w:r>
      <w:r w:rsidRPr="009C2BE3">
        <w:rPr>
          <w:sz w:val="20"/>
          <w:szCs w:val="20"/>
        </w:rPr>
        <w:t>)</w:t>
      </w:r>
      <w:r>
        <w:rPr>
          <w:sz w:val="20"/>
          <w:szCs w:val="20"/>
        </w:rPr>
        <w:t>.</w:t>
      </w:r>
      <w:r w:rsidRPr="000F16BB">
        <w:rPr>
          <w:color w:val="FF0000"/>
          <w:sz w:val="20"/>
          <w:szCs w:val="20"/>
        </w:rPr>
        <w:t xml:space="preserve"> </w:t>
      </w:r>
      <w:r w:rsidRPr="00FC3171">
        <w:rPr>
          <w:sz w:val="20"/>
          <w:szCs w:val="20"/>
        </w:rPr>
        <w:t>O</w:t>
      </w:r>
      <w:r>
        <w:rPr>
          <w:sz w:val="20"/>
          <w:szCs w:val="20"/>
        </w:rPr>
        <w:t xml:space="preserve"> exemplo aqui </w:t>
      </w:r>
      <w:r w:rsidRPr="00B45279">
        <w:rPr>
          <w:sz w:val="20"/>
          <w:szCs w:val="20"/>
        </w:rPr>
        <w:t>proposto considera a linha de vida constituída por cabo de aço.</w:t>
      </w:r>
    </w:p>
    <w:p w:rsidR="00AF3502" w:rsidRDefault="00AF3502" w:rsidP="002D26F4">
      <w:pPr>
        <w:ind w:firstLine="567"/>
        <w:jc w:val="both"/>
        <w:rPr>
          <w:sz w:val="20"/>
          <w:szCs w:val="20"/>
        </w:rPr>
      </w:pPr>
      <w:r w:rsidRPr="00B45279">
        <w:rPr>
          <w:sz w:val="20"/>
          <w:szCs w:val="20"/>
        </w:rPr>
        <w:t>De acordo com o guia (CBIC, 2017) uma linha de vida em cabo de aço é con</w:t>
      </w:r>
      <w:r>
        <w:rPr>
          <w:sz w:val="20"/>
          <w:szCs w:val="20"/>
        </w:rPr>
        <w:t xml:space="preserve">stituída de acordo com a Fig. 1 e o </w:t>
      </w:r>
      <w:r w:rsidR="00456DD9">
        <w:rPr>
          <w:sz w:val="20"/>
          <w:szCs w:val="20"/>
        </w:rPr>
        <w:t>A</w:t>
      </w:r>
      <w:r>
        <w:rPr>
          <w:sz w:val="20"/>
          <w:szCs w:val="20"/>
        </w:rPr>
        <w:t xml:space="preserve">pêndice B. </w:t>
      </w:r>
      <w:r w:rsidRPr="00B45279">
        <w:rPr>
          <w:sz w:val="20"/>
          <w:szCs w:val="20"/>
        </w:rPr>
        <w:t>Nesta figura é possível observar que são n</w:t>
      </w:r>
      <w:r w:rsidRPr="00AD07E9">
        <w:rPr>
          <w:sz w:val="20"/>
          <w:szCs w:val="20"/>
        </w:rPr>
        <w:t>ecessários no mínimo</w:t>
      </w:r>
      <w:r>
        <w:rPr>
          <w:sz w:val="20"/>
          <w:szCs w:val="20"/>
        </w:rPr>
        <w:t xml:space="preserve"> os seguintes componentes</w:t>
      </w:r>
      <w:r w:rsidRPr="00AD07E9">
        <w:rPr>
          <w:sz w:val="20"/>
          <w:szCs w:val="20"/>
        </w:rPr>
        <w:t xml:space="preserve">: </w:t>
      </w:r>
    </w:p>
    <w:p w:rsidR="00AF3502" w:rsidRDefault="00AF3502" w:rsidP="00186682">
      <w:pPr>
        <w:ind w:firstLine="567"/>
        <w:jc w:val="both"/>
        <w:rPr>
          <w:sz w:val="20"/>
          <w:szCs w:val="20"/>
        </w:rPr>
      </w:pPr>
      <w:r w:rsidRPr="00186682">
        <w:rPr>
          <w:b/>
          <w:sz w:val="20"/>
          <w:szCs w:val="20"/>
        </w:rPr>
        <w:t>Cabo de aço</w:t>
      </w:r>
      <w:r w:rsidRPr="00CF0E44">
        <w:rPr>
          <w:sz w:val="20"/>
          <w:szCs w:val="20"/>
        </w:rPr>
        <w:t xml:space="preserve">, responsável por servir como último ponto de ancoragem ao trabalhador. Baseado na norma </w:t>
      </w:r>
      <w:r w:rsidRPr="00CF0E44">
        <w:rPr>
          <w:sz w:val="20"/>
          <w:szCs w:val="20"/>
        </w:rPr>
        <w:lastRenderedPageBreak/>
        <w:t>técnica NBR ISO 2408 (ABNT, 2019) os cabos de aços são recomendados para linha de vida tanto horizontais como verticais. Quanto a sua construção são de alma de fibra, a alma de fibra compostas em cabos de aço de pequenas bitolas permitem ao cabo uma maior flexibilidade se comparados aos cabos com alma de aço. A alma de fibra permite ainda um laço menor nas extremidades, possibilitando assim uma melhor compatibilidade com os elementos da linha de vida.</w:t>
      </w:r>
    </w:p>
    <w:p w:rsidR="00AF3502" w:rsidRDefault="00AF3502" w:rsidP="00186682">
      <w:pPr>
        <w:ind w:firstLine="567"/>
        <w:jc w:val="both"/>
        <w:rPr>
          <w:sz w:val="20"/>
          <w:szCs w:val="20"/>
        </w:rPr>
      </w:pPr>
      <w:r w:rsidRPr="00186682">
        <w:rPr>
          <w:b/>
          <w:sz w:val="20"/>
          <w:szCs w:val="20"/>
        </w:rPr>
        <w:t>Absorvedor de energia</w:t>
      </w:r>
      <w:r w:rsidRPr="00186682">
        <w:rPr>
          <w:sz w:val="20"/>
          <w:szCs w:val="20"/>
        </w:rPr>
        <w:t xml:space="preserve"> consiste segundo a NBR 14629 (ABNT, 2010) em um elemento com função de limitar a força de impacto transmitida ao trabalhador pela dissipação da energia cinética. </w:t>
      </w:r>
      <w:r w:rsidRPr="00CF0E44">
        <w:rPr>
          <w:sz w:val="20"/>
          <w:szCs w:val="20"/>
        </w:rPr>
        <w:t>Este dispositivo é usado para minimizar as forças envolvidas em uma queda, destinado a absorver o choque e reduzir o impacto transmitido ao corpo</w:t>
      </w:r>
      <w:r w:rsidRPr="004A7E96">
        <w:rPr>
          <w:sz w:val="20"/>
          <w:szCs w:val="20"/>
        </w:rPr>
        <w:t xml:space="preserve"> do trabalhador, dissipando a energia e reduzindo a força de desaceleração</w:t>
      </w:r>
      <w:r>
        <w:rPr>
          <w:sz w:val="20"/>
          <w:szCs w:val="20"/>
        </w:rPr>
        <w:t>. O</w:t>
      </w:r>
      <w:r w:rsidRPr="00F56FCE">
        <w:rPr>
          <w:sz w:val="20"/>
          <w:szCs w:val="20"/>
        </w:rPr>
        <w:t xml:space="preserve"> absorvedor de energia da linha de vida retira energia cinética da queda e transforma em energia de deformação com a finalidade de suavizar a força resultante do sistema. O absorvedor de energia para ser utilizado deve passar por uma s</w:t>
      </w:r>
      <w:r>
        <w:rPr>
          <w:sz w:val="20"/>
          <w:szCs w:val="20"/>
        </w:rPr>
        <w:t>érie de testes que o qualificará</w:t>
      </w:r>
      <w:r w:rsidRPr="00F56FCE">
        <w:rPr>
          <w:sz w:val="20"/>
          <w:szCs w:val="20"/>
        </w:rPr>
        <w:t xml:space="preserve"> para o uso, tendo como resistência mí</w:t>
      </w:r>
      <w:r>
        <w:rPr>
          <w:sz w:val="20"/>
          <w:szCs w:val="20"/>
        </w:rPr>
        <w:t xml:space="preserve">nima uma carga de tração de </w:t>
      </w:r>
      <w:r w:rsidR="00456DD9">
        <w:rPr>
          <w:sz w:val="20"/>
          <w:szCs w:val="20"/>
        </w:rPr>
        <w:t xml:space="preserve">       </w:t>
      </w:r>
      <w:r>
        <w:rPr>
          <w:sz w:val="20"/>
          <w:szCs w:val="20"/>
        </w:rPr>
        <w:t xml:space="preserve">15 </w:t>
      </w:r>
      <w:proofErr w:type="spellStart"/>
      <w:r>
        <w:rPr>
          <w:sz w:val="20"/>
          <w:szCs w:val="20"/>
        </w:rPr>
        <w:t>kN</w:t>
      </w:r>
      <w:proofErr w:type="spellEnd"/>
      <w:r>
        <w:rPr>
          <w:sz w:val="20"/>
          <w:szCs w:val="20"/>
        </w:rPr>
        <w:t xml:space="preserve"> (</w:t>
      </w:r>
      <w:proofErr w:type="spellStart"/>
      <w:r>
        <w:rPr>
          <w:sz w:val="20"/>
          <w:szCs w:val="20"/>
        </w:rPr>
        <w:t>k</w:t>
      </w:r>
      <w:r w:rsidRPr="00F56FCE">
        <w:rPr>
          <w:sz w:val="20"/>
          <w:szCs w:val="20"/>
        </w:rPr>
        <w:t>ilo</w:t>
      </w:r>
      <w:proofErr w:type="spellEnd"/>
      <w:r w:rsidRPr="00F56FCE">
        <w:rPr>
          <w:sz w:val="20"/>
          <w:szCs w:val="20"/>
        </w:rPr>
        <w:t>-Newton) sem se deformar e sem que haja</w:t>
      </w:r>
      <w:r w:rsidR="00186682">
        <w:rPr>
          <w:sz w:val="20"/>
          <w:szCs w:val="20"/>
        </w:rPr>
        <w:t xml:space="preserve"> rasgamentos dos seus terminais.</w:t>
      </w:r>
    </w:p>
    <w:p w:rsidR="00AF3502" w:rsidRPr="00445577" w:rsidRDefault="00AF3502" w:rsidP="00186682">
      <w:pPr>
        <w:ind w:firstLine="567"/>
        <w:jc w:val="both"/>
        <w:rPr>
          <w:sz w:val="20"/>
          <w:szCs w:val="20"/>
        </w:rPr>
      </w:pPr>
      <w:r>
        <w:rPr>
          <w:sz w:val="20"/>
          <w:szCs w:val="20"/>
        </w:rPr>
        <w:t xml:space="preserve">A norma NBR 8029 (ABNT, 2013) diz que o </w:t>
      </w:r>
      <w:r w:rsidRPr="00186682">
        <w:rPr>
          <w:b/>
          <w:sz w:val="20"/>
          <w:szCs w:val="20"/>
        </w:rPr>
        <w:t>esticador</w:t>
      </w:r>
      <w:r>
        <w:rPr>
          <w:sz w:val="20"/>
          <w:szCs w:val="20"/>
        </w:rPr>
        <w:t xml:space="preserve"> é</w:t>
      </w:r>
      <w:r w:rsidRPr="00445577">
        <w:rPr>
          <w:sz w:val="20"/>
          <w:szCs w:val="20"/>
        </w:rPr>
        <w:t xml:space="preserve"> um acessório utilizado para esticar c</w:t>
      </w:r>
      <w:r>
        <w:rPr>
          <w:sz w:val="20"/>
          <w:szCs w:val="20"/>
        </w:rPr>
        <w:t>abos de aço e retirar as folgas</w:t>
      </w:r>
      <w:r w:rsidRPr="00445577">
        <w:rPr>
          <w:sz w:val="20"/>
          <w:szCs w:val="20"/>
        </w:rPr>
        <w:t xml:space="preserve"> para aproveitar ao máximo seu desempenho</w:t>
      </w:r>
      <w:r>
        <w:rPr>
          <w:sz w:val="20"/>
          <w:szCs w:val="20"/>
        </w:rPr>
        <w:t>. Comumente o esticador de cabo de aço é usado nas extremidades da linha de vida, o mesmo pode ser utilizado mesmo em caso de linha de vida seccionada onde os cabos de aços são mais curtos em r</w:t>
      </w:r>
      <w:r w:rsidR="00186682">
        <w:rPr>
          <w:sz w:val="20"/>
          <w:szCs w:val="20"/>
        </w:rPr>
        <w:t>elação a distância dos suportes.</w:t>
      </w:r>
    </w:p>
    <w:p w:rsidR="00AF3502" w:rsidRPr="00445577" w:rsidRDefault="00AF3502" w:rsidP="00186682">
      <w:pPr>
        <w:ind w:firstLine="567"/>
        <w:jc w:val="both"/>
        <w:rPr>
          <w:sz w:val="20"/>
          <w:szCs w:val="20"/>
        </w:rPr>
      </w:pPr>
      <w:r w:rsidRPr="00186682">
        <w:rPr>
          <w:b/>
          <w:sz w:val="20"/>
          <w:szCs w:val="20"/>
        </w:rPr>
        <w:t>Mosquetão</w:t>
      </w:r>
      <w:r>
        <w:rPr>
          <w:sz w:val="20"/>
          <w:szCs w:val="20"/>
        </w:rPr>
        <w:t xml:space="preserve"> é </w:t>
      </w:r>
      <w:r w:rsidRPr="00445577">
        <w:rPr>
          <w:sz w:val="20"/>
          <w:szCs w:val="20"/>
        </w:rPr>
        <w:t>um anel metáli</w:t>
      </w:r>
      <w:r>
        <w:rPr>
          <w:sz w:val="20"/>
          <w:szCs w:val="20"/>
        </w:rPr>
        <w:t>co que possui um segmento móvel</w:t>
      </w:r>
      <w:r w:rsidRPr="00445577">
        <w:rPr>
          <w:sz w:val="20"/>
          <w:szCs w:val="20"/>
        </w:rPr>
        <w:t xml:space="preserve"> chamado gatilho, que se abre para permitir a passagem da corda e do cabo de aço. É um equipamento típico de uso em trabalho em altura com a utilização de cabos sintéticos</w:t>
      </w:r>
      <w:r w:rsidR="00186682">
        <w:rPr>
          <w:sz w:val="20"/>
          <w:szCs w:val="20"/>
        </w:rPr>
        <w:t xml:space="preserve"> (DIN-5299).</w:t>
      </w:r>
    </w:p>
    <w:p w:rsidR="00AF3502" w:rsidRPr="00445577" w:rsidRDefault="00AF3502" w:rsidP="00186682">
      <w:pPr>
        <w:ind w:firstLine="567"/>
        <w:jc w:val="both"/>
        <w:rPr>
          <w:sz w:val="20"/>
          <w:szCs w:val="20"/>
        </w:rPr>
      </w:pPr>
      <w:r w:rsidRPr="00186682">
        <w:rPr>
          <w:b/>
          <w:sz w:val="20"/>
          <w:szCs w:val="20"/>
        </w:rPr>
        <w:t>Olhal</w:t>
      </w:r>
      <w:r>
        <w:rPr>
          <w:sz w:val="20"/>
          <w:szCs w:val="20"/>
        </w:rPr>
        <w:t xml:space="preserve"> conforme NBR-11900-3 (ABNT, 2018) é um d</w:t>
      </w:r>
      <w:r w:rsidRPr="00445577">
        <w:rPr>
          <w:sz w:val="20"/>
          <w:szCs w:val="20"/>
        </w:rPr>
        <w:t>ispositivo de fixação, constituído por uma haste e um</w:t>
      </w:r>
      <w:r>
        <w:rPr>
          <w:sz w:val="20"/>
          <w:szCs w:val="20"/>
        </w:rPr>
        <w:t xml:space="preserve"> </w:t>
      </w:r>
      <w:r w:rsidRPr="00445577">
        <w:rPr>
          <w:sz w:val="20"/>
          <w:szCs w:val="20"/>
        </w:rPr>
        <w:t xml:space="preserve">orifício no </w:t>
      </w:r>
      <w:r>
        <w:rPr>
          <w:sz w:val="20"/>
          <w:szCs w:val="20"/>
        </w:rPr>
        <w:t>qual se passa uma corda ou cabo</w:t>
      </w:r>
      <w:r w:rsidRPr="00445577">
        <w:rPr>
          <w:sz w:val="20"/>
          <w:szCs w:val="20"/>
        </w:rPr>
        <w:t xml:space="preserve"> podendo sustentar grandes cargas</w:t>
      </w:r>
      <w:r w:rsidR="00186682">
        <w:rPr>
          <w:sz w:val="20"/>
          <w:szCs w:val="20"/>
        </w:rPr>
        <w:t>.</w:t>
      </w:r>
    </w:p>
    <w:p w:rsidR="00AF3502" w:rsidRDefault="00AF3502" w:rsidP="00186682">
      <w:pPr>
        <w:ind w:firstLine="567"/>
        <w:jc w:val="both"/>
        <w:rPr>
          <w:sz w:val="20"/>
          <w:szCs w:val="20"/>
        </w:rPr>
      </w:pPr>
      <w:r w:rsidRPr="00186682">
        <w:rPr>
          <w:b/>
          <w:sz w:val="20"/>
          <w:szCs w:val="20"/>
        </w:rPr>
        <w:t>Sapatilha para cabo de aço</w:t>
      </w:r>
      <w:r>
        <w:rPr>
          <w:sz w:val="20"/>
          <w:szCs w:val="20"/>
        </w:rPr>
        <w:t xml:space="preserve"> é</w:t>
      </w:r>
      <w:r w:rsidRPr="0001032D">
        <w:rPr>
          <w:sz w:val="20"/>
          <w:szCs w:val="20"/>
        </w:rPr>
        <w:t xml:space="preserve"> um acessório desenvolvido</w:t>
      </w:r>
      <w:r>
        <w:rPr>
          <w:sz w:val="20"/>
          <w:szCs w:val="20"/>
        </w:rPr>
        <w:t xml:space="preserve"> como elemento de proteção</w:t>
      </w:r>
      <w:r w:rsidRPr="0001032D">
        <w:rPr>
          <w:sz w:val="20"/>
          <w:szCs w:val="20"/>
        </w:rPr>
        <w:t xml:space="preserve"> que evita a deformação de cabos e desgastes de cordas</w:t>
      </w:r>
      <w:r>
        <w:rPr>
          <w:sz w:val="20"/>
          <w:szCs w:val="20"/>
        </w:rPr>
        <w:t xml:space="preserve"> (</w:t>
      </w:r>
      <w:r w:rsidRPr="007663FD">
        <w:rPr>
          <w:sz w:val="20"/>
          <w:szCs w:val="20"/>
        </w:rPr>
        <w:t>DIN</w:t>
      </w:r>
      <w:r>
        <w:rPr>
          <w:sz w:val="20"/>
          <w:szCs w:val="20"/>
        </w:rPr>
        <w:t>-</w:t>
      </w:r>
      <w:r w:rsidRPr="007663FD">
        <w:rPr>
          <w:sz w:val="20"/>
          <w:szCs w:val="20"/>
        </w:rPr>
        <w:t>6899</w:t>
      </w:r>
      <w:r w:rsidR="00186682">
        <w:rPr>
          <w:sz w:val="20"/>
          <w:szCs w:val="20"/>
        </w:rPr>
        <w:t>).</w:t>
      </w:r>
    </w:p>
    <w:p w:rsidR="00AF3502" w:rsidRDefault="00AF3502" w:rsidP="00186682">
      <w:pPr>
        <w:ind w:firstLine="360"/>
        <w:jc w:val="both"/>
        <w:rPr>
          <w:sz w:val="20"/>
          <w:szCs w:val="20"/>
        </w:rPr>
      </w:pPr>
      <w:r w:rsidRPr="00186682">
        <w:rPr>
          <w:b/>
          <w:sz w:val="20"/>
          <w:szCs w:val="20"/>
        </w:rPr>
        <w:t>Suportes para ancoragem da linha de vida</w:t>
      </w:r>
      <w:r w:rsidRPr="00F56FCE">
        <w:rPr>
          <w:sz w:val="20"/>
          <w:szCs w:val="20"/>
        </w:rPr>
        <w:t>.</w:t>
      </w:r>
      <w:r>
        <w:rPr>
          <w:sz w:val="20"/>
          <w:szCs w:val="20"/>
        </w:rPr>
        <w:t xml:space="preserve"> </w:t>
      </w:r>
      <w:r w:rsidRPr="00F56FCE">
        <w:rPr>
          <w:sz w:val="20"/>
          <w:szCs w:val="20"/>
        </w:rPr>
        <w:t>A</w:t>
      </w:r>
      <w:r>
        <w:rPr>
          <w:sz w:val="20"/>
          <w:szCs w:val="20"/>
        </w:rPr>
        <w:t>s</w:t>
      </w:r>
      <w:r w:rsidRPr="00F56FCE">
        <w:rPr>
          <w:sz w:val="20"/>
          <w:szCs w:val="20"/>
        </w:rPr>
        <w:t xml:space="preserve"> norma</w:t>
      </w:r>
      <w:r>
        <w:rPr>
          <w:sz w:val="20"/>
          <w:szCs w:val="20"/>
        </w:rPr>
        <w:t>s</w:t>
      </w:r>
      <w:r w:rsidRPr="00F56FCE">
        <w:rPr>
          <w:sz w:val="20"/>
          <w:szCs w:val="20"/>
        </w:rPr>
        <w:t xml:space="preserve"> técnica</w:t>
      </w:r>
      <w:r>
        <w:rPr>
          <w:sz w:val="20"/>
          <w:szCs w:val="20"/>
        </w:rPr>
        <w:t>s</w:t>
      </w:r>
      <w:r w:rsidRPr="00F56FCE">
        <w:rPr>
          <w:sz w:val="20"/>
          <w:szCs w:val="20"/>
        </w:rPr>
        <w:t xml:space="preserve"> </w:t>
      </w:r>
      <w:r>
        <w:rPr>
          <w:sz w:val="20"/>
          <w:szCs w:val="20"/>
        </w:rPr>
        <w:t xml:space="preserve">NBR 16325-1 (ABNT, 2014) e NBR 16325-2 (ABNT, 2014) </w:t>
      </w:r>
      <w:r w:rsidRPr="00F56FCE">
        <w:rPr>
          <w:sz w:val="20"/>
          <w:szCs w:val="20"/>
        </w:rPr>
        <w:t>especifica</w:t>
      </w:r>
      <w:r>
        <w:rPr>
          <w:sz w:val="20"/>
          <w:szCs w:val="20"/>
        </w:rPr>
        <w:t>m</w:t>
      </w:r>
      <w:r w:rsidRPr="00F56FCE">
        <w:rPr>
          <w:sz w:val="20"/>
          <w:szCs w:val="20"/>
        </w:rPr>
        <w:t xml:space="preserve"> os tipos de ancoragem para cada tipo de linha de vida horizontal e os pontos de apoios a serem utilizados em cada um dos casos. Neste artigo o exemplo proposto pa</w:t>
      </w:r>
      <w:r>
        <w:rPr>
          <w:sz w:val="20"/>
          <w:szCs w:val="20"/>
        </w:rPr>
        <w:t>ra o caso é</w:t>
      </w:r>
      <w:r w:rsidRPr="00F56FCE">
        <w:rPr>
          <w:sz w:val="20"/>
          <w:szCs w:val="20"/>
        </w:rPr>
        <w:t xml:space="preserve"> o tipo C</w:t>
      </w:r>
      <w:r>
        <w:rPr>
          <w:sz w:val="20"/>
          <w:szCs w:val="20"/>
        </w:rPr>
        <w:t>,</w:t>
      </w:r>
      <w:r w:rsidRPr="00F56FCE">
        <w:rPr>
          <w:sz w:val="20"/>
          <w:szCs w:val="20"/>
        </w:rPr>
        <w:t xml:space="preserve"> dispositivo de ancoragem que inclui uma linha de ancoragem horizontal.</w:t>
      </w:r>
      <w:r>
        <w:rPr>
          <w:sz w:val="20"/>
          <w:szCs w:val="20"/>
        </w:rPr>
        <w:t xml:space="preserve"> </w:t>
      </w:r>
      <w:r w:rsidRPr="00F56FCE">
        <w:rPr>
          <w:sz w:val="20"/>
          <w:szCs w:val="20"/>
        </w:rPr>
        <w:t>Os s</w:t>
      </w:r>
      <w:r>
        <w:rPr>
          <w:sz w:val="20"/>
          <w:szCs w:val="20"/>
        </w:rPr>
        <w:t xml:space="preserve">uportes </w:t>
      </w:r>
      <w:r w:rsidRPr="00F56FCE">
        <w:rPr>
          <w:sz w:val="20"/>
          <w:szCs w:val="20"/>
        </w:rPr>
        <w:t>são</w:t>
      </w:r>
      <w:r>
        <w:rPr>
          <w:sz w:val="20"/>
          <w:szCs w:val="20"/>
        </w:rPr>
        <w:t xml:space="preserve"> comumente</w:t>
      </w:r>
      <w:r w:rsidRPr="00F56FCE">
        <w:rPr>
          <w:sz w:val="20"/>
          <w:szCs w:val="20"/>
        </w:rPr>
        <w:t xml:space="preserve"> classificados em três tipos de fixador</w:t>
      </w:r>
      <w:r w:rsidRPr="00186682">
        <w:rPr>
          <w:sz w:val="20"/>
          <w:szCs w:val="20"/>
        </w:rPr>
        <w:t xml:space="preserve">es: </w:t>
      </w:r>
      <w:r w:rsidRPr="00186682">
        <w:rPr>
          <w:bCs/>
          <w:sz w:val="20"/>
          <w:szCs w:val="20"/>
        </w:rPr>
        <w:t>Suporte tipo A</w:t>
      </w:r>
      <w:r w:rsidRPr="00186682">
        <w:rPr>
          <w:sz w:val="20"/>
          <w:szCs w:val="20"/>
        </w:rPr>
        <w:t xml:space="preserve"> - Elemento de fixação; </w:t>
      </w:r>
      <w:r w:rsidRPr="00186682">
        <w:rPr>
          <w:bCs/>
          <w:sz w:val="20"/>
          <w:szCs w:val="20"/>
        </w:rPr>
        <w:t>Suporte tipo B</w:t>
      </w:r>
      <w:r w:rsidRPr="00186682">
        <w:rPr>
          <w:sz w:val="20"/>
          <w:szCs w:val="20"/>
        </w:rPr>
        <w:t xml:space="preserve"> - Dispositivo de ancoragem transportável; e </w:t>
      </w:r>
      <w:r w:rsidRPr="00186682">
        <w:rPr>
          <w:bCs/>
          <w:sz w:val="20"/>
          <w:szCs w:val="20"/>
        </w:rPr>
        <w:t>Suporte tipo C</w:t>
      </w:r>
      <w:r w:rsidRPr="00186682">
        <w:rPr>
          <w:sz w:val="20"/>
          <w:szCs w:val="20"/>
        </w:rPr>
        <w:t xml:space="preserve"> - Dispositivo de ancoragem que inclui uma linha de </w:t>
      </w:r>
      <w:r w:rsidRPr="00F56FCE">
        <w:rPr>
          <w:sz w:val="20"/>
          <w:szCs w:val="20"/>
        </w:rPr>
        <w:t>ancoragem horizontal</w:t>
      </w:r>
      <w:r w:rsidR="00186682">
        <w:rPr>
          <w:sz w:val="20"/>
          <w:szCs w:val="20"/>
        </w:rPr>
        <w:t>.</w:t>
      </w:r>
    </w:p>
    <w:p w:rsidR="00AF3502" w:rsidRDefault="00AF3502" w:rsidP="00186682">
      <w:pPr>
        <w:ind w:firstLine="708"/>
        <w:jc w:val="both"/>
        <w:rPr>
          <w:sz w:val="20"/>
          <w:szCs w:val="20"/>
        </w:rPr>
      </w:pPr>
      <w:r w:rsidRPr="00186682">
        <w:rPr>
          <w:b/>
          <w:sz w:val="20"/>
          <w:szCs w:val="20"/>
        </w:rPr>
        <w:t>Grampos para cabos de aço</w:t>
      </w:r>
      <w:r>
        <w:rPr>
          <w:sz w:val="20"/>
          <w:szCs w:val="20"/>
        </w:rPr>
        <w:t xml:space="preserve"> como diz a NBR-7160 (ABNT, 1990) tem a finalidade de fixar o cabo de aço </w:t>
      </w:r>
      <w:r>
        <w:rPr>
          <w:sz w:val="20"/>
          <w:szCs w:val="20"/>
        </w:rPr>
        <w:lastRenderedPageBreak/>
        <w:t>a fim de segura-lo em seus terminais. Os grampos de cabo de aço devem respeitar a distância mínima estabelecida assegurando assim que o cabo de aço na parte morta fique bem preso e não venha a soltar-se. Para cabos de aço de 3/8” a distância mínima entre grampos é de 57</w:t>
      </w:r>
      <w:r w:rsidR="00456DD9">
        <w:rPr>
          <w:sz w:val="20"/>
          <w:szCs w:val="20"/>
        </w:rPr>
        <w:t xml:space="preserve"> mm</w:t>
      </w:r>
      <w:r>
        <w:rPr>
          <w:sz w:val="20"/>
          <w:szCs w:val="20"/>
        </w:rPr>
        <w:t xml:space="preserve"> (</w:t>
      </w:r>
      <w:r w:rsidR="00456DD9">
        <w:rPr>
          <w:sz w:val="20"/>
          <w:szCs w:val="20"/>
        </w:rPr>
        <w:t>milímetros</w:t>
      </w:r>
      <w:r>
        <w:rPr>
          <w:sz w:val="20"/>
          <w:szCs w:val="20"/>
        </w:rPr>
        <w:t>) e os mesmos devem ser posicionados com a base do grampo na parte viva do cabo de aço. Para linhas de vida de grandes proporções é recomendado 85 mm de distância entre grampos e uma dobra de 230 mm.</w:t>
      </w:r>
    </w:p>
    <w:p w:rsidR="00456DD9" w:rsidRDefault="00456DD9" w:rsidP="00456DD9">
      <w:pPr>
        <w:ind w:firstLine="567"/>
        <w:jc w:val="both"/>
        <w:rPr>
          <w:sz w:val="20"/>
          <w:szCs w:val="20"/>
        </w:rPr>
      </w:pPr>
      <w:r w:rsidRPr="00935B3B">
        <w:rPr>
          <w:sz w:val="20"/>
          <w:szCs w:val="20"/>
        </w:rPr>
        <w:t xml:space="preserve">A estrutura da qual receberá a linha de vida deve respeitar os critérios mínimos da NBR 8800 </w:t>
      </w:r>
      <w:r>
        <w:rPr>
          <w:sz w:val="20"/>
          <w:szCs w:val="20"/>
        </w:rPr>
        <w:t>(ABNT, 2008</w:t>
      </w:r>
      <w:r w:rsidRPr="00F45204">
        <w:rPr>
          <w:sz w:val="20"/>
          <w:szCs w:val="20"/>
        </w:rPr>
        <w:t>).</w:t>
      </w:r>
      <w:r w:rsidRPr="00935B3B">
        <w:rPr>
          <w:b/>
          <w:sz w:val="20"/>
          <w:szCs w:val="20"/>
        </w:rPr>
        <w:t xml:space="preserve"> </w:t>
      </w:r>
      <w:r w:rsidRPr="00935B3B">
        <w:rPr>
          <w:bCs/>
          <w:sz w:val="20"/>
          <w:szCs w:val="20"/>
        </w:rPr>
        <w:t>Esta norma se refere a projeto de estruturas de aço e de estruturas mistas</w:t>
      </w:r>
      <w:r>
        <w:rPr>
          <w:bCs/>
          <w:sz w:val="20"/>
          <w:szCs w:val="20"/>
        </w:rPr>
        <w:t xml:space="preserve"> de aço</w:t>
      </w:r>
      <w:r w:rsidRPr="00935B3B">
        <w:rPr>
          <w:bCs/>
          <w:sz w:val="20"/>
          <w:szCs w:val="20"/>
        </w:rPr>
        <w:t xml:space="preserve"> e concreto de edifícios.</w:t>
      </w:r>
      <w:r w:rsidRPr="00935B3B">
        <w:rPr>
          <w:sz w:val="20"/>
          <w:szCs w:val="20"/>
        </w:rPr>
        <w:t xml:space="preserve"> A mesma norma pode ser utilizada para o dimensionamento dos suportes da linha de vida, porém as cargas provenientes da linha de vida deverão ser consideradas no cálculo da estrutura, conforme mencionado no guia (CBIC, 2017).</w:t>
      </w:r>
    </w:p>
    <w:p w:rsidR="00456DD9" w:rsidRDefault="00456DD9" w:rsidP="00456DD9">
      <w:pPr>
        <w:ind w:firstLine="567"/>
        <w:jc w:val="both"/>
        <w:rPr>
          <w:sz w:val="20"/>
          <w:szCs w:val="20"/>
        </w:rPr>
      </w:pPr>
      <w:r>
        <w:rPr>
          <w:sz w:val="20"/>
          <w:szCs w:val="20"/>
        </w:rPr>
        <w:t>A NR 35 estabelece os requisitos mínimos e as medidas de proteção para o trabalho em altura. Dessa forma envolvendo organização, planejamento e execução de modo a garantir a segurança e a saúde dos trabalhadores. Diante da NR 35 toda atividade executada acima de 2 m (metros) de altura do nível inferior é considerada trabalho em altura (BRASIL, 2015). O planejamento juntamente com organização e execução obriga a utilização de hierarquia de controle para evitar o uso do trabalho em altura sempre quando houver outro meio de se resolver o mesmo problema, como também medidas que eliminem o risco de queda para o trabalhador na execução de atividades em altura.</w:t>
      </w:r>
    </w:p>
    <w:p w:rsidR="00456DD9" w:rsidRDefault="00456DD9" w:rsidP="00456DD9">
      <w:pPr>
        <w:ind w:firstLine="567"/>
        <w:jc w:val="both"/>
        <w:rPr>
          <w:sz w:val="20"/>
        </w:rPr>
      </w:pPr>
      <w:r>
        <w:rPr>
          <w:sz w:val="20"/>
        </w:rPr>
        <w:lastRenderedPageBreak/>
        <w:t>O Guia Prá</w:t>
      </w:r>
      <w:r w:rsidRPr="00901BCD">
        <w:rPr>
          <w:sz w:val="20"/>
        </w:rPr>
        <w:t xml:space="preserve">tico </w:t>
      </w:r>
      <w:r>
        <w:rPr>
          <w:sz w:val="20"/>
        </w:rPr>
        <w:t xml:space="preserve">para Cálculo de Linha de Vida e Restrição para Indústria da Construção foi publicado no ano de 2017 e sua principal função é servir como auxílio prático para se projetar e calcular uma linha de vida do modelo especificado. O presente guia também é composto por modelos de cálculos e exemplos calculados. </w:t>
      </w:r>
    </w:p>
    <w:p w:rsidR="00AF3502" w:rsidRDefault="00AF3502" w:rsidP="002D26F4">
      <w:pPr>
        <w:ind w:firstLine="567"/>
        <w:jc w:val="both"/>
        <w:rPr>
          <w:sz w:val="20"/>
        </w:rPr>
      </w:pPr>
      <w:r>
        <w:rPr>
          <w:sz w:val="20"/>
        </w:rPr>
        <w:t xml:space="preserve">Com a finalidade de verificar se o método proposto por esse guia atende as normas vigentes já citadas, foi feito um trabalho em que se analisou o exemplo 2.3.4.4, disponibilizado neste guia. Por meio de simulação computacional foi verificado se aquela linha de vida atende aos requisitos que as normas impõem e apresenta uma resistência estrutural necessária. A linha de vida proposta, foi desenhada no software </w:t>
      </w:r>
      <w:proofErr w:type="spellStart"/>
      <w:r w:rsidRPr="00456DD9">
        <w:rPr>
          <w:i/>
          <w:sz w:val="20"/>
        </w:rPr>
        <w:t>SolidWorks</w:t>
      </w:r>
      <w:proofErr w:type="spellEnd"/>
      <w:r>
        <w:rPr>
          <w:sz w:val="20"/>
        </w:rPr>
        <w:t xml:space="preserve"> (</w:t>
      </w:r>
      <w:r w:rsidRPr="007A7E38">
        <w:rPr>
          <w:sz w:val="20"/>
        </w:rPr>
        <w:t xml:space="preserve">versão 2018 </w:t>
      </w:r>
      <w:r w:rsidRPr="00456DD9">
        <w:rPr>
          <w:i/>
          <w:sz w:val="20"/>
        </w:rPr>
        <w:t>Service Pack</w:t>
      </w:r>
      <w:r w:rsidRPr="007A7E38">
        <w:rPr>
          <w:sz w:val="20"/>
        </w:rPr>
        <w:t xml:space="preserve"> 5</w:t>
      </w:r>
      <w:r>
        <w:rPr>
          <w:sz w:val="20"/>
        </w:rPr>
        <w:t xml:space="preserve">) e neste mesmo software foi realizado a análise de simulação do suporte de carga pelo método de FEA através no Modo </w:t>
      </w:r>
      <w:proofErr w:type="spellStart"/>
      <w:r w:rsidRPr="00456DD9">
        <w:rPr>
          <w:i/>
          <w:sz w:val="20"/>
        </w:rPr>
        <w:t>Simulation</w:t>
      </w:r>
      <w:proofErr w:type="spellEnd"/>
      <w:r>
        <w:rPr>
          <w:sz w:val="20"/>
        </w:rPr>
        <w:t xml:space="preserve"> do </w:t>
      </w:r>
      <w:proofErr w:type="spellStart"/>
      <w:r w:rsidRPr="00456DD9">
        <w:rPr>
          <w:i/>
          <w:sz w:val="20"/>
        </w:rPr>
        <w:t>SolidWorks</w:t>
      </w:r>
      <w:proofErr w:type="spellEnd"/>
      <w:r>
        <w:rPr>
          <w:sz w:val="20"/>
        </w:rPr>
        <w:t>.</w:t>
      </w:r>
    </w:p>
    <w:p w:rsidR="00AF3502" w:rsidRDefault="00AF3502" w:rsidP="002D26F4">
      <w:pPr>
        <w:ind w:firstLine="567"/>
        <w:jc w:val="both"/>
        <w:rPr>
          <w:sz w:val="20"/>
        </w:rPr>
      </w:pPr>
      <w:r>
        <w:rPr>
          <w:sz w:val="20"/>
        </w:rPr>
        <w:t>O Método dos Elementos Finitos (MEF) ou FEA é uma técnica muito utilizada campo da engenharia mecânica, engenharia aeronáutica, entre outras e pode ser usada em diversos tipos de análises aproveitando os seus benefícios em diferentes áreas e setores da engenha</w:t>
      </w:r>
      <w:r w:rsidR="00456DD9">
        <w:rPr>
          <w:sz w:val="20"/>
        </w:rPr>
        <w:t>ria de estruturas e de projetos</w:t>
      </w:r>
      <w:r>
        <w:rPr>
          <w:sz w:val="20"/>
        </w:rPr>
        <w:t xml:space="preserve"> (PEREIRA, 2016). </w:t>
      </w:r>
    </w:p>
    <w:p w:rsidR="00AF3502" w:rsidRDefault="00AF3502" w:rsidP="002D26F4">
      <w:pPr>
        <w:ind w:firstLine="567"/>
        <w:jc w:val="both"/>
        <w:rPr>
          <w:sz w:val="20"/>
        </w:rPr>
      </w:pPr>
      <w:r w:rsidRPr="00A50F3B">
        <w:rPr>
          <w:sz w:val="20"/>
        </w:rPr>
        <w:t>O MEF se base</w:t>
      </w:r>
      <w:r>
        <w:rPr>
          <w:sz w:val="20"/>
        </w:rPr>
        <w:t xml:space="preserve">ia na divisão do objeto </w:t>
      </w:r>
      <w:r w:rsidRPr="00A50F3B">
        <w:rPr>
          <w:sz w:val="20"/>
        </w:rPr>
        <w:t>anali</w:t>
      </w:r>
      <w:r>
        <w:rPr>
          <w:sz w:val="20"/>
        </w:rPr>
        <w:t xml:space="preserve">sado </w:t>
      </w:r>
      <w:r w:rsidRPr="00A50F3B">
        <w:rPr>
          <w:sz w:val="20"/>
        </w:rPr>
        <w:t xml:space="preserve">em </w:t>
      </w:r>
      <w:r>
        <w:rPr>
          <w:sz w:val="20"/>
        </w:rPr>
        <w:t xml:space="preserve">partes bem menores chamadas </w:t>
      </w:r>
      <w:r w:rsidRPr="00A50F3B">
        <w:rPr>
          <w:sz w:val="20"/>
        </w:rPr>
        <w:t xml:space="preserve">de elementos. </w:t>
      </w:r>
      <w:r>
        <w:rPr>
          <w:sz w:val="20"/>
        </w:rPr>
        <w:t>Esses elementos são conectados por um número finito chamado de nós. Devido a divisão da estrutura forma-se equações para cada elemento as quais posteriormente são combinadas e tem-se a solução geral (VERGARA, 2005).</w:t>
      </w:r>
    </w:p>
    <w:p w:rsidR="00456DD9" w:rsidRDefault="00456DD9" w:rsidP="00456DD9">
      <w:pPr>
        <w:rPr>
          <w:sz w:val="20"/>
          <w:szCs w:val="20"/>
        </w:rPr>
        <w:sectPr w:rsidR="00456DD9" w:rsidSect="008D2107">
          <w:type w:val="continuous"/>
          <w:pgSz w:w="11906" w:h="16838"/>
          <w:pgMar w:top="1418" w:right="1021" w:bottom="1418" w:left="1021" w:header="720" w:footer="720" w:gutter="0"/>
          <w:cols w:num="2" w:space="340"/>
          <w:docGrid w:linePitch="360"/>
        </w:sectPr>
      </w:pPr>
    </w:p>
    <w:p w:rsidR="00456DD9" w:rsidRDefault="00456DD9" w:rsidP="00456DD9">
      <w:pPr>
        <w:rPr>
          <w:sz w:val="20"/>
          <w:szCs w:val="20"/>
        </w:rPr>
      </w:pPr>
    </w:p>
    <w:p w:rsidR="00456DD9" w:rsidRDefault="00456DD9" w:rsidP="00456DD9">
      <w:pPr>
        <w:rPr>
          <w:sz w:val="20"/>
          <w:szCs w:val="20"/>
        </w:rPr>
      </w:pPr>
    </w:p>
    <w:p w:rsidR="00456DD9" w:rsidRDefault="00456DD9" w:rsidP="00456DD9">
      <w:pPr>
        <w:rPr>
          <w:sz w:val="20"/>
          <w:szCs w:val="20"/>
        </w:rPr>
        <w:sectPr w:rsidR="00456DD9" w:rsidSect="00456DD9">
          <w:type w:val="continuous"/>
          <w:pgSz w:w="11906" w:h="16838"/>
          <w:pgMar w:top="1418" w:right="1021" w:bottom="1418" w:left="1021" w:header="720" w:footer="720" w:gutter="0"/>
          <w:cols w:space="340"/>
          <w:docGrid w:linePitch="360"/>
        </w:sectPr>
      </w:pPr>
    </w:p>
    <w:p w:rsidR="00456DD9" w:rsidRPr="00CF0E44" w:rsidRDefault="00456DD9" w:rsidP="00456DD9">
      <w:pPr>
        <w:rPr>
          <w:sz w:val="20"/>
          <w:szCs w:val="20"/>
        </w:rPr>
      </w:pPr>
      <w:r w:rsidRPr="00CF0E44">
        <w:rPr>
          <w:sz w:val="20"/>
          <w:szCs w:val="20"/>
        </w:rPr>
        <w:lastRenderedPageBreak/>
        <w:t>Figura 1</w:t>
      </w:r>
      <w:r>
        <w:rPr>
          <w:sz w:val="20"/>
          <w:szCs w:val="20"/>
        </w:rPr>
        <w:t>:</w:t>
      </w:r>
      <w:r w:rsidRPr="00CF0E44">
        <w:rPr>
          <w:sz w:val="20"/>
          <w:szCs w:val="20"/>
        </w:rPr>
        <w:t xml:space="preserve"> Componentes da linha de vida</w:t>
      </w:r>
      <w:r>
        <w:rPr>
          <w:sz w:val="20"/>
          <w:szCs w:val="20"/>
        </w:rPr>
        <w:t>.</w:t>
      </w:r>
    </w:p>
    <w:p w:rsidR="00456DD9" w:rsidRDefault="00456DD9" w:rsidP="00456DD9">
      <w:pPr>
        <w:jc w:val="both"/>
        <w:rPr>
          <w:b/>
          <w:noProof/>
          <w:sz w:val="20"/>
          <w:szCs w:val="20"/>
        </w:rPr>
      </w:pPr>
      <w:r>
        <w:rPr>
          <w:noProof/>
          <w:lang w:eastAsia="pt-BR"/>
        </w:rPr>
        <w:drawing>
          <wp:inline distT="0" distB="0" distL="0" distR="0" wp14:anchorId="7134FBBE" wp14:editId="18AA9F3D">
            <wp:extent cx="6267450" cy="27336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7450" cy="2733675"/>
                    </a:xfrm>
                    <a:prstGeom prst="rect">
                      <a:avLst/>
                    </a:prstGeom>
                    <a:noFill/>
                    <a:ln>
                      <a:noFill/>
                    </a:ln>
                  </pic:spPr>
                </pic:pic>
              </a:graphicData>
            </a:graphic>
          </wp:inline>
        </w:drawing>
      </w:r>
    </w:p>
    <w:p w:rsidR="00456DD9" w:rsidRDefault="00456DD9" w:rsidP="00456DD9">
      <w:pPr>
        <w:jc w:val="both"/>
        <w:rPr>
          <w:noProof/>
          <w:sz w:val="20"/>
          <w:szCs w:val="20"/>
        </w:rPr>
      </w:pPr>
      <w:r w:rsidRPr="00CF0E44">
        <w:rPr>
          <w:noProof/>
          <w:sz w:val="20"/>
          <w:szCs w:val="20"/>
        </w:rPr>
        <w:t xml:space="preserve">Fonte: </w:t>
      </w:r>
      <w:r>
        <w:rPr>
          <w:noProof/>
          <w:sz w:val="20"/>
          <w:szCs w:val="20"/>
        </w:rPr>
        <w:t>Os a</w:t>
      </w:r>
      <w:r w:rsidRPr="00CF0E44">
        <w:rPr>
          <w:noProof/>
          <w:sz w:val="20"/>
          <w:szCs w:val="20"/>
        </w:rPr>
        <w:t>utores (2019)</w:t>
      </w:r>
      <w:r>
        <w:rPr>
          <w:noProof/>
          <w:sz w:val="20"/>
          <w:szCs w:val="20"/>
        </w:rPr>
        <w:t>.</w:t>
      </w:r>
    </w:p>
    <w:p w:rsidR="00456DD9" w:rsidRDefault="00456DD9" w:rsidP="002D26F4">
      <w:pPr>
        <w:ind w:firstLine="567"/>
        <w:jc w:val="both"/>
        <w:rPr>
          <w:b/>
          <w:sz w:val="20"/>
        </w:rPr>
        <w:sectPr w:rsidR="00456DD9" w:rsidSect="00456DD9">
          <w:type w:val="continuous"/>
          <w:pgSz w:w="11906" w:h="16838"/>
          <w:pgMar w:top="1418" w:right="1021" w:bottom="1418" w:left="1021" w:header="720" w:footer="720" w:gutter="0"/>
          <w:cols w:space="340"/>
          <w:docGrid w:linePitch="360"/>
        </w:sectPr>
      </w:pPr>
    </w:p>
    <w:p w:rsidR="00AF3502" w:rsidRDefault="00AF3502" w:rsidP="002D26F4">
      <w:pPr>
        <w:ind w:firstLine="567"/>
        <w:jc w:val="both"/>
        <w:rPr>
          <w:b/>
          <w:sz w:val="20"/>
        </w:rPr>
      </w:pPr>
    </w:p>
    <w:p w:rsidR="00456DD9" w:rsidRDefault="00456DD9" w:rsidP="00456DD9">
      <w:pPr>
        <w:ind w:firstLine="567"/>
        <w:jc w:val="both"/>
        <w:rPr>
          <w:sz w:val="20"/>
          <w:szCs w:val="20"/>
        </w:rPr>
      </w:pPr>
      <w:r>
        <w:rPr>
          <w:sz w:val="20"/>
        </w:rPr>
        <w:t xml:space="preserve">Basicamente na engenharia essa técnica consiste em dividir a geometria da peça em pequenas partes formando geometrias cada vez menores e que por sua vez apresentam uma menor complexidade de resolução. Tratando sempre </w:t>
      </w:r>
      <w:r>
        <w:rPr>
          <w:sz w:val="20"/>
        </w:rPr>
        <w:lastRenderedPageBreak/>
        <w:t>esse recurso como uma aproximação e não o resultado exato. Essas geometrias menores quando somadas serão equivalentes a geometria original (LEINAT, 2017).</w:t>
      </w:r>
      <w:r w:rsidRPr="00456DD9">
        <w:rPr>
          <w:sz w:val="20"/>
          <w:szCs w:val="20"/>
        </w:rPr>
        <w:t xml:space="preserve"> </w:t>
      </w:r>
    </w:p>
    <w:p w:rsidR="00456DD9" w:rsidRPr="00207B06" w:rsidRDefault="00456DD9" w:rsidP="00456DD9">
      <w:pPr>
        <w:ind w:firstLine="567"/>
        <w:jc w:val="both"/>
        <w:rPr>
          <w:sz w:val="20"/>
        </w:rPr>
      </w:pPr>
      <w:r>
        <w:rPr>
          <w:sz w:val="20"/>
        </w:rPr>
        <w:t xml:space="preserve">Com o avanço tecnológico e da computação todos esses processos podem ser feitos por meio de softwares de </w:t>
      </w:r>
      <w:r>
        <w:rPr>
          <w:sz w:val="20"/>
        </w:rPr>
        <w:lastRenderedPageBreak/>
        <w:t>simulação e modelagem 3D. Assim, com esses recursos tem-se a possibilidade de destacar possíveis esforços estruturais e cargas localizadas de uma maneira extremamente detalhada, facilitando a identificação de possíveis falhas ou fraturas nos componentes da peça ou na estrutura estudada.</w:t>
      </w:r>
    </w:p>
    <w:p w:rsidR="00AF3502" w:rsidRDefault="00AF3502" w:rsidP="00456DD9">
      <w:pPr>
        <w:ind w:firstLine="567"/>
        <w:jc w:val="both"/>
        <w:rPr>
          <w:sz w:val="20"/>
        </w:rPr>
      </w:pPr>
      <w:r>
        <w:rPr>
          <w:sz w:val="20"/>
        </w:rPr>
        <w:t>No exemplo 2.3.4.4 tem-se uma aplicação de uma linha de retenção de queda com a situação de calcular o seu dimensionamento (CBIC, 2017). A Fig. 2 expõe os principais dados para o exemplo e pode-se destacar ent</w:t>
      </w:r>
      <w:r w:rsidR="00456DD9">
        <w:rPr>
          <w:sz w:val="20"/>
        </w:rPr>
        <w:t>re eles a distância de vão de 6</w:t>
      </w:r>
      <w:r>
        <w:rPr>
          <w:sz w:val="20"/>
        </w:rPr>
        <w:t xml:space="preserve"> metros já a Fig. 3 apresenta os cálculos da referida aplicação.</w:t>
      </w:r>
    </w:p>
    <w:p w:rsidR="00AF3502" w:rsidRPr="0060398B" w:rsidRDefault="00AF3502" w:rsidP="002D26F4">
      <w:pPr>
        <w:ind w:firstLine="567"/>
        <w:jc w:val="both"/>
        <w:rPr>
          <w:sz w:val="20"/>
        </w:rPr>
      </w:pPr>
      <w:r w:rsidRPr="0060398B">
        <w:rPr>
          <w:sz w:val="20"/>
        </w:rPr>
        <w:t>Como considerações finais do exemplo tem-se que os dados admitidos para o cálculo atendem as regras e normas exigidas no referente guia (CBIC, 2017), podendo-se ainda destacar alguns valores calculados como em a “Força no cabo” de 2.279 kgf que está igual a “Força cabo - Iteração” (CBIC, 2017).</w:t>
      </w:r>
    </w:p>
    <w:p w:rsidR="00AF3502" w:rsidRPr="0060398B" w:rsidRDefault="00AF3502" w:rsidP="002D26F4">
      <w:pPr>
        <w:ind w:firstLine="567"/>
        <w:jc w:val="both"/>
        <w:rPr>
          <w:sz w:val="20"/>
        </w:rPr>
      </w:pPr>
      <w:r w:rsidRPr="0060398B">
        <w:rPr>
          <w:sz w:val="20"/>
        </w:rPr>
        <w:t>O próximo passo foi a realização da simulação em software para a comparação dos dados obtidos na análise por elementos finitos e os dados do Guia Prático (CBIC, 2017).</w:t>
      </w:r>
    </w:p>
    <w:p w:rsidR="00AF3502" w:rsidRDefault="00AF3502" w:rsidP="002D26F4">
      <w:pPr>
        <w:ind w:firstLine="567"/>
        <w:jc w:val="both"/>
        <w:rPr>
          <w:sz w:val="20"/>
        </w:rPr>
      </w:pPr>
      <w:r w:rsidRPr="00AF1C37">
        <w:rPr>
          <w:sz w:val="20"/>
        </w:rPr>
        <w:t>Mediante a simu</w:t>
      </w:r>
      <w:r>
        <w:rPr>
          <w:sz w:val="20"/>
        </w:rPr>
        <w:t>lação foi utilizado uma malha só</w:t>
      </w:r>
      <w:r w:rsidRPr="00AF1C37">
        <w:rPr>
          <w:sz w:val="20"/>
        </w:rPr>
        <w:t>lida, malha com base em curvatura com 4 pontos jacobianos,</w:t>
      </w:r>
      <w:r>
        <w:rPr>
          <w:sz w:val="20"/>
        </w:rPr>
        <w:t xml:space="preserve"> onde os pontos jacobianos indicam a quantidade de pontos de integração que é utilizado para se verificar o nível de distorção de cada elemento (</w:t>
      </w:r>
      <w:r w:rsidRPr="005E39FC">
        <w:rPr>
          <w:sz w:val="20"/>
        </w:rPr>
        <w:t>DASSAULT SYSTÈMES</w:t>
      </w:r>
      <w:r>
        <w:rPr>
          <w:sz w:val="20"/>
        </w:rPr>
        <w:t xml:space="preserve">, 2018). </w:t>
      </w:r>
      <w:r w:rsidRPr="00AF1C37">
        <w:rPr>
          <w:sz w:val="20"/>
        </w:rPr>
        <w:t>Eminente a esses parâme</w:t>
      </w:r>
      <w:r>
        <w:rPr>
          <w:sz w:val="20"/>
        </w:rPr>
        <w:t xml:space="preserve">tros aplicados em simulação nos resultou uma malha com 727.549 nós e 438.393 elementos ao total. </w:t>
      </w:r>
    </w:p>
    <w:p w:rsidR="00AF3502" w:rsidRDefault="00AF3502" w:rsidP="002D26F4">
      <w:pPr>
        <w:jc w:val="both"/>
        <w:rPr>
          <w:sz w:val="20"/>
        </w:rPr>
      </w:pPr>
    </w:p>
    <w:p w:rsidR="00AF3502" w:rsidRPr="006E72FD" w:rsidRDefault="00456DD9" w:rsidP="002D26F4">
      <w:pPr>
        <w:jc w:val="both"/>
        <w:rPr>
          <w:sz w:val="20"/>
        </w:rPr>
      </w:pPr>
      <w:r>
        <w:rPr>
          <w:sz w:val="20"/>
        </w:rPr>
        <w:t>Figura 2:</w:t>
      </w:r>
      <w:r w:rsidR="00AF3502" w:rsidRPr="006E72FD">
        <w:rPr>
          <w:sz w:val="20"/>
        </w:rPr>
        <w:t xml:space="preserve"> Dados para o dimensionamento da linha de vida (Exemplo 2.3.4.4)</w:t>
      </w:r>
      <w:r w:rsidR="00AF3502">
        <w:rPr>
          <w:sz w:val="20"/>
        </w:rPr>
        <w:t>.</w:t>
      </w:r>
    </w:p>
    <w:p w:rsidR="00AF3502" w:rsidRPr="006E72FD" w:rsidRDefault="00370377" w:rsidP="002D26F4">
      <w:pPr>
        <w:jc w:val="center"/>
        <w:rPr>
          <w:sz w:val="20"/>
        </w:rPr>
      </w:pPr>
      <w:r>
        <w:rPr>
          <w:noProof/>
          <w:sz w:val="20"/>
          <w:lang w:eastAsia="pt-BR"/>
        </w:rPr>
        <w:drawing>
          <wp:inline distT="0" distB="0" distL="0" distR="0" wp14:anchorId="523BFE09">
            <wp:extent cx="3019425" cy="20669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2066925"/>
                    </a:xfrm>
                    <a:prstGeom prst="rect">
                      <a:avLst/>
                    </a:prstGeom>
                    <a:noFill/>
                    <a:ln>
                      <a:noFill/>
                    </a:ln>
                  </pic:spPr>
                </pic:pic>
              </a:graphicData>
            </a:graphic>
          </wp:inline>
        </w:drawing>
      </w:r>
    </w:p>
    <w:p w:rsidR="00AF3502" w:rsidRDefault="00AF3502" w:rsidP="002D26F4">
      <w:pPr>
        <w:jc w:val="both"/>
        <w:rPr>
          <w:noProof/>
          <w:sz w:val="20"/>
          <w:szCs w:val="20"/>
        </w:rPr>
      </w:pPr>
      <w:r w:rsidRPr="006E72FD">
        <w:rPr>
          <w:noProof/>
          <w:sz w:val="20"/>
          <w:szCs w:val="20"/>
        </w:rPr>
        <w:t>Fonte: (CBIC, 2017)</w:t>
      </w:r>
      <w:r>
        <w:rPr>
          <w:noProof/>
          <w:sz w:val="20"/>
          <w:szCs w:val="20"/>
        </w:rPr>
        <w:t>.</w:t>
      </w:r>
    </w:p>
    <w:p w:rsidR="00AF3502" w:rsidRDefault="00AF3502" w:rsidP="002D26F4">
      <w:pPr>
        <w:jc w:val="both"/>
        <w:rPr>
          <w:noProof/>
          <w:sz w:val="20"/>
          <w:szCs w:val="20"/>
        </w:rPr>
      </w:pPr>
    </w:p>
    <w:p w:rsidR="00AF3502" w:rsidRDefault="00AF3502" w:rsidP="002D26F4">
      <w:pPr>
        <w:ind w:firstLine="567"/>
        <w:jc w:val="both"/>
        <w:rPr>
          <w:sz w:val="20"/>
        </w:rPr>
      </w:pPr>
      <w:r>
        <w:rPr>
          <w:sz w:val="20"/>
        </w:rPr>
        <w:t>Para este</w:t>
      </w:r>
      <w:r w:rsidRPr="00AF1C37">
        <w:rPr>
          <w:sz w:val="20"/>
        </w:rPr>
        <w:t xml:space="preserve"> suporte não foi mencionad</w:t>
      </w:r>
      <w:r>
        <w:rPr>
          <w:sz w:val="20"/>
        </w:rPr>
        <w:t>o altura, dimensões ou material</w:t>
      </w:r>
      <w:r w:rsidRPr="00AF1C37">
        <w:rPr>
          <w:sz w:val="20"/>
        </w:rPr>
        <w:t xml:space="preserve"> pelo guia. Para</w:t>
      </w:r>
      <w:r>
        <w:rPr>
          <w:sz w:val="20"/>
        </w:rPr>
        <w:t xml:space="preserve"> a</w:t>
      </w:r>
      <w:r w:rsidRPr="00AF1C37">
        <w:rPr>
          <w:sz w:val="20"/>
        </w:rPr>
        <w:t xml:space="preserve"> simulação do s</w:t>
      </w:r>
      <w:r>
        <w:rPr>
          <w:sz w:val="20"/>
        </w:rPr>
        <w:t>uporte proposto optou-se</w:t>
      </w:r>
      <w:r w:rsidRPr="00AF1C37">
        <w:rPr>
          <w:sz w:val="20"/>
        </w:rPr>
        <w:t xml:space="preserve"> por um suporte convencional e comumente utilizado</w:t>
      </w:r>
      <w:r>
        <w:rPr>
          <w:sz w:val="20"/>
        </w:rPr>
        <w:t xml:space="preserve"> conforme a Fig. 4 e Apêndice A. O suporte é um</w:t>
      </w:r>
      <w:r w:rsidRPr="00AF1C37">
        <w:rPr>
          <w:sz w:val="20"/>
        </w:rPr>
        <w:t xml:space="preserve"> aço</w:t>
      </w:r>
      <w:r>
        <w:rPr>
          <w:sz w:val="20"/>
        </w:rPr>
        <w:t xml:space="preserve"> da </w:t>
      </w:r>
      <w:r w:rsidRPr="00456DD9">
        <w:rPr>
          <w:i/>
          <w:sz w:val="20"/>
        </w:rPr>
        <w:t xml:space="preserve">American </w:t>
      </w:r>
      <w:proofErr w:type="spellStart"/>
      <w:r w:rsidRPr="00456DD9">
        <w:rPr>
          <w:i/>
          <w:sz w:val="20"/>
        </w:rPr>
        <w:t>Society</w:t>
      </w:r>
      <w:proofErr w:type="spellEnd"/>
      <w:r w:rsidRPr="00456DD9">
        <w:rPr>
          <w:i/>
          <w:sz w:val="20"/>
        </w:rPr>
        <w:t xml:space="preserve"> for </w:t>
      </w:r>
      <w:proofErr w:type="spellStart"/>
      <w:r w:rsidRPr="00456DD9">
        <w:rPr>
          <w:i/>
          <w:sz w:val="20"/>
        </w:rPr>
        <w:t>Testing</w:t>
      </w:r>
      <w:proofErr w:type="spellEnd"/>
      <w:r w:rsidRPr="00456DD9">
        <w:rPr>
          <w:i/>
          <w:sz w:val="20"/>
        </w:rPr>
        <w:t xml:space="preserve"> </w:t>
      </w:r>
      <w:proofErr w:type="spellStart"/>
      <w:r w:rsidRPr="00456DD9">
        <w:rPr>
          <w:i/>
          <w:sz w:val="20"/>
        </w:rPr>
        <w:t>and</w:t>
      </w:r>
      <w:proofErr w:type="spellEnd"/>
      <w:r w:rsidRPr="00456DD9">
        <w:rPr>
          <w:i/>
          <w:sz w:val="20"/>
        </w:rPr>
        <w:t xml:space="preserve"> </w:t>
      </w:r>
      <w:proofErr w:type="spellStart"/>
      <w:r w:rsidRPr="00456DD9">
        <w:rPr>
          <w:i/>
          <w:sz w:val="20"/>
        </w:rPr>
        <w:t>Materials</w:t>
      </w:r>
      <w:proofErr w:type="spellEnd"/>
      <w:r w:rsidRPr="00AF1C37">
        <w:rPr>
          <w:sz w:val="20"/>
        </w:rPr>
        <w:t xml:space="preserve"> </w:t>
      </w:r>
      <w:r>
        <w:rPr>
          <w:sz w:val="20"/>
        </w:rPr>
        <w:t>(</w:t>
      </w:r>
      <w:r w:rsidRPr="00AF1C37">
        <w:rPr>
          <w:sz w:val="20"/>
        </w:rPr>
        <w:t>ASTM</w:t>
      </w:r>
      <w:r>
        <w:rPr>
          <w:sz w:val="20"/>
        </w:rPr>
        <w:t xml:space="preserve">) </w:t>
      </w:r>
      <w:r w:rsidRPr="00AF1C37">
        <w:rPr>
          <w:sz w:val="20"/>
        </w:rPr>
        <w:t xml:space="preserve">A36 e o perfil tipo Metalon com as </w:t>
      </w:r>
      <w:r>
        <w:rPr>
          <w:sz w:val="20"/>
        </w:rPr>
        <w:t xml:space="preserve">dimensões de 100 </w:t>
      </w:r>
      <w:proofErr w:type="gramStart"/>
      <w:r>
        <w:rPr>
          <w:sz w:val="20"/>
        </w:rPr>
        <w:t>x</w:t>
      </w:r>
      <w:proofErr w:type="gramEnd"/>
      <w:r>
        <w:rPr>
          <w:sz w:val="20"/>
        </w:rPr>
        <w:t xml:space="preserve"> 100 x 500 mm e</w:t>
      </w:r>
      <w:r w:rsidRPr="00AF1C37">
        <w:rPr>
          <w:sz w:val="20"/>
        </w:rPr>
        <w:t xml:space="preserve"> com espessura de </w:t>
      </w:r>
      <w:r w:rsidR="00456DD9">
        <w:rPr>
          <w:sz w:val="20"/>
        </w:rPr>
        <w:t xml:space="preserve">           </w:t>
      </w:r>
      <w:r w:rsidRPr="00AF1C37">
        <w:rPr>
          <w:sz w:val="20"/>
        </w:rPr>
        <w:t>2 mm.</w:t>
      </w:r>
      <w:r>
        <w:rPr>
          <w:sz w:val="20"/>
        </w:rPr>
        <w:t xml:space="preserve"> </w:t>
      </w:r>
    </w:p>
    <w:p w:rsidR="00AF3502" w:rsidRPr="006E72FD" w:rsidRDefault="00AF3502" w:rsidP="002D26F4">
      <w:pPr>
        <w:jc w:val="both"/>
        <w:rPr>
          <w:noProof/>
          <w:sz w:val="20"/>
          <w:szCs w:val="20"/>
        </w:rPr>
      </w:pPr>
    </w:p>
    <w:p w:rsidR="00AF3502" w:rsidRPr="006E72FD" w:rsidRDefault="00AF3502" w:rsidP="002D26F4">
      <w:pPr>
        <w:jc w:val="both"/>
        <w:rPr>
          <w:noProof/>
          <w:sz w:val="20"/>
          <w:szCs w:val="20"/>
        </w:rPr>
      </w:pPr>
      <w:r w:rsidRPr="006E72FD">
        <w:rPr>
          <w:noProof/>
          <w:sz w:val="20"/>
          <w:szCs w:val="20"/>
        </w:rPr>
        <w:lastRenderedPageBreak/>
        <w:t>Figura 3</w:t>
      </w:r>
      <w:r w:rsidR="00456DD9">
        <w:rPr>
          <w:noProof/>
          <w:sz w:val="20"/>
          <w:szCs w:val="20"/>
        </w:rPr>
        <w:t>:</w:t>
      </w:r>
      <w:r w:rsidRPr="006E72FD">
        <w:rPr>
          <w:noProof/>
          <w:sz w:val="20"/>
          <w:szCs w:val="20"/>
        </w:rPr>
        <w:t xml:space="preserve"> Cálculos de dimensionamento da linha de vida (Exemplo 2.3.4.4)</w:t>
      </w:r>
      <w:r>
        <w:rPr>
          <w:noProof/>
          <w:sz w:val="20"/>
          <w:szCs w:val="20"/>
        </w:rPr>
        <w:t>.</w:t>
      </w:r>
    </w:p>
    <w:p w:rsidR="00AF3502" w:rsidRDefault="00370377" w:rsidP="002D26F4">
      <w:pPr>
        <w:jc w:val="center"/>
        <w:rPr>
          <w:noProof/>
          <w:sz w:val="20"/>
          <w:szCs w:val="20"/>
        </w:rPr>
      </w:pPr>
      <w:r>
        <w:rPr>
          <w:noProof/>
          <w:sz w:val="20"/>
          <w:lang w:eastAsia="pt-BR"/>
        </w:rPr>
        <w:drawing>
          <wp:inline distT="0" distB="0" distL="0" distR="0" wp14:anchorId="1DF752DB">
            <wp:extent cx="2847975" cy="23622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2362200"/>
                    </a:xfrm>
                    <a:prstGeom prst="rect">
                      <a:avLst/>
                    </a:prstGeom>
                    <a:noFill/>
                    <a:ln>
                      <a:noFill/>
                    </a:ln>
                  </pic:spPr>
                </pic:pic>
              </a:graphicData>
            </a:graphic>
          </wp:inline>
        </w:drawing>
      </w:r>
    </w:p>
    <w:p w:rsidR="00AF3502" w:rsidRDefault="00AF3502" w:rsidP="002D26F4">
      <w:pPr>
        <w:rPr>
          <w:sz w:val="20"/>
          <w:szCs w:val="20"/>
        </w:rPr>
      </w:pPr>
      <w:r w:rsidRPr="006E72FD">
        <w:rPr>
          <w:sz w:val="20"/>
          <w:szCs w:val="20"/>
        </w:rPr>
        <w:t>Fonte: (CBIC, 2017)</w:t>
      </w:r>
      <w:r>
        <w:rPr>
          <w:sz w:val="20"/>
          <w:szCs w:val="20"/>
        </w:rPr>
        <w:t>.</w:t>
      </w:r>
    </w:p>
    <w:p w:rsidR="00AF3502" w:rsidRPr="006E72FD" w:rsidRDefault="00AF3502" w:rsidP="002D26F4">
      <w:pPr>
        <w:rPr>
          <w:sz w:val="20"/>
          <w:szCs w:val="20"/>
        </w:rPr>
      </w:pPr>
    </w:p>
    <w:p w:rsidR="00AF3502" w:rsidRDefault="00AF3502" w:rsidP="002D26F4">
      <w:pPr>
        <w:ind w:firstLine="567"/>
        <w:jc w:val="both"/>
        <w:rPr>
          <w:sz w:val="20"/>
        </w:rPr>
      </w:pPr>
      <w:r w:rsidRPr="00AF1C37">
        <w:rPr>
          <w:sz w:val="20"/>
        </w:rPr>
        <w:t>Como alguns componentes da linha de vida tem a finalidade de absorver cargas a</w:t>
      </w:r>
      <w:r>
        <w:rPr>
          <w:sz w:val="20"/>
        </w:rPr>
        <w:t xml:space="preserve"> </w:t>
      </w:r>
      <w:r w:rsidRPr="00AF1C37">
        <w:rPr>
          <w:sz w:val="20"/>
        </w:rPr>
        <w:t xml:space="preserve">fim de minimizar a carga de impacto no operador foi realizada uma simulação para demonstrar </w:t>
      </w:r>
      <w:r>
        <w:rPr>
          <w:sz w:val="20"/>
        </w:rPr>
        <w:t>como é o comportamento</w:t>
      </w:r>
      <w:r w:rsidRPr="00AF1C37">
        <w:rPr>
          <w:sz w:val="20"/>
        </w:rPr>
        <w:t xml:space="preserve"> do dispositivo na linha de vida</w:t>
      </w:r>
      <w:r>
        <w:rPr>
          <w:sz w:val="20"/>
        </w:rPr>
        <w:t xml:space="preserve"> (Fig. 5). Deve-se realçar que</w:t>
      </w:r>
      <w:r w:rsidRPr="00AF1C37">
        <w:rPr>
          <w:sz w:val="20"/>
        </w:rPr>
        <w:t xml:space="preserve"> a carga de impacto gerada pela queda</w:t>
      </w:r>
      <w:r>
        <w:rPr>
          <w:sz w:val="20"/>
        </w:rPr>
        <w:t xml:space="preserve"> do operador foi uma</w:t>
      </w:r>
      <w:r w:rsidRPr="00AF1C37">
        <w:rPr>
          <w:sz w:val="20"/>
        </w:rPr>
        <w:t xml:space="preserve"> car</w:t>
      </w:r>
      <w:r>
        <w:rPr>
          <w:sz w:val="20"/>
        </w:rPr>
        <w:t xml:space="preserve">ga de 600 kgf </w:t>
      </w:r>
      <w:r w:rsidRPr="00AF1C37">
        <w:rPr>
          <w:sz w:val="20"/>
        </w:rPr>
        <w:t>distribuída</w:t>
      </w:r>
      <w:r>
        <w:rPr>
          <w:sz w:val="20"/>
        </w:rPr>
        <w:t>. Mediante ao fato de</w:t>
      </w:r>
      <w:r w:rsidRPr="00AF1C37">
        <w:rPr>
          <w:sz w:val="20"/>
        </w:rPr>
        <w:t xml:space="preserve"> </w:t>
      </w:r>
      <w:r>
        <w:rPr>
          <w:sz w:val="20"/>
        </w:rPr>
        <w:t>estar apoiada entres dois pontos pa</w:t>
      </w:r>
      <w:r w:rsidRPr="00AF1C37">
        <w:rPr>
          <w:sz w:val="20"/>
        </w:rPr>
        <w:t xml:space="preserve">ra cada lado da linha de vida foi considerada uma tração de 300 </w:t>
      </w:r>
      <w:r>
        <w:rPr>
          <w:sz w:val="20"/>
        </w:rPr>
        <w:t>kgf.</w:t>
      </w:r>
    </w:p>
    <w:p w:rsidR="00AF3502" w:rsidRDefault="00AF3502" w:rsidP="002D26F4">
      <w:pPr>
        <w:jc w:val="both"/>
        <w:rPr>
          <w:sz w:val="20"/>
        </w:rPr>
      </w:pPr>
    </w:p>
    <w:p w:rsidR="00AF3502" w:rsidRPr="006E72FD" w:rsidRDefault="00456DD9" w:rsidP="002D26F4">
      <w:pPr>
        <w:jc w:val="both"/>
        <w:rPr>
          <w:sz w:val="20"/>
        </w:rPr>
      </w:pPr>
      <w:r>
        <w:rPr>
          <w:sz w:val="20"/>
        </w:rPr>
        <w:t>Figura 4:</w:t>
      </w:r>
      <w:r w:rsidR="00AF3502" w:rsidRPr="006E72FD">
        <w:rPr>
          <w:sz w:val="20"/>
        </w:rPr>
        <w:t xml:space="preserve"> Suporte da linha de vida com aplicação de malha gerada no </w:t>
      </w:r>
      <w:proofErr w:type="spellStart"/>
      <w:r w:rsidR="00AF3502" w:rsidRPr="00456DD9">
        <w:rPr>
          <w:i/>
          <w:sz w:val="20"/>
        </w:rPr>
        <w:t>SolidWorks</w:t>
      </w:r>
      <w:proofErr w:type="spellEnd"/>
      <w:r w:rsidR="00AF3502">
        <w:rPr>
          <w:sz w:val="20"/>
        </w:rPr>
        <w:t>.</w:t>
      </w:r>
    </w:p>
    <w:p w:rsidR="00AF3502" w:rsidRPr="006E72FD" w:rsidRDefault="00370377" w:rsidP="002D26F4">
      <w:pPr>
        <w:ind w:firstLine="567"/>
        <w:jc w:val="both"/>
        <w:rPr>
          <w:sz w:val="20"/>
        </w:rPr>
      </w:pPr>
      <w:r>
        <w:rPr>
          <w:noProof/>
          <w:sz w:val="20"/>
          <w:lang w:eastAsia="pt-BR"/>
        </w:rPr>
        <w:drawing>
          <wp:inline distT="0" distB="0" distL="0" distR="0" wp14:anchorId="2A7F8FC0">
            <wp:extent cx="1905000" cy="28289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2828925"/>
                    </a:xfrm>
                    <a:prstGeom prst="rect">
                      <a:avLst/>
                    </a:prstGeom>
                    <a:noFill/>
                    <a:ln>
                      <a:noFill/>
                    </a:ln>
                  </pic:spPr>
                </pic:pic>
              </a:graphicData>
            </a:graphic>
          </wp:inline>
        </w:drawing>
      </w:r>
    </w:p>
    <w:p w:rsidR="00AF3502" w:rsidRPr="006E72FD" w:rsidRDefault="00AF3502" w:rsidP="002D26F4">
      <w:pPr>
        <w:jc w:val="both"/>
        <w:rPr>
          <w:sz w:val="20"/>
        </w:rPr>
      </w:pPr>
      <w:r w:rsidRPr="006E72FD">
        <w:rPr>
          <w:sz w:val="20"/>
        </w:rPr>
        <w:t xml:space="preserve">Fonte: </w:t>
      </w:r>
      <w:r w:rsidR="00AA02D1">
        <w:rPr>
          <w:sz w:val="20"/>
        </w:rPr>
        <w:t>Os a</w:t>
      </w:r>
      <w:r w:rsidRPr="006E72FD">
        <w:rPr>
          <w:sz w:val="20"/>
        </w:rPr>
        <w:t>utores (2019)</w:t>
      </w:r>
      <w:r>
        <w:rPr>
          <w:sz w:val="20"/>
        </w:rPr>
        <w:t>.</w:t>
      </w:r>
    </w:p>
    <w:p w:rsidR="00AF3502" w:rsidRDefault="00AF3502" w:rsidP="002D26F4">
      <w:pPr>
        <w:ind w:firstLine="567"/>
        <w:jc w:val="both"/>
        <w:rPr>
          <w:sz w:val="20"/>
        </w:rPr>
      </w:pPr>
    </w:p>
    <w:p w:rsidR="00AF3502" w:rsidRDefault="00AF3502" w:rsidP="002D26F4">
      <w:pPr>
        <w:ind w:firstLine="567"/>
        <w:jc w:val="both"/>
        <w:rPr>
          <w:sz w:val="20"/>
        </w:rPr>
      </w:pPr>
      <w:r>
        <w:rPr>
          <w:sz w:val="20"/>
        </w:rPr>
        <w:t>Referente a simulação realizada</w:t>
      </w:r>
      <w:r w:rsidRPr="00AF1C37">
        <w:rPr>
          <w:sz w:val="20"/>
        </w:rPr>
        <w:t xml:space="preserve"> </w:t>
      </w:r>
      <w:r>
        <w:rPr>
          <w:sz w:val="20"/>
        </w:rPr>
        <w:t xml:space="preserve">ao absorvedor de energia da linha de vida, o equipamento apresentou uma tensão máxima de 47,867 </w:t>
      </w:r>
      <w:r w:rsidR="00AA02D1">
        <w:rPr>
          <w:sz w:val="20"/>
        </w:rPr>
        <w:t xml:space="preserve">MPa </w:t>
      </w:r>
      <w:r>
        <w:rPr>
          <w:sz w:val="20"/>
        </w:rPr>
        <w:t>(</w:t>
      </w:r>
      <w:proofErr w:type="spellStart"/>
      <w:r w:rsidR="00AA02D1">
        <w:rPr>
          <w:sz w:val="20"/>
        </w:rPr>
        <w:t>MegaPascal</w:t>
      </w:r>
      <w:proofErr w:type="spellEnd"/>
      <w:r>
        <w:rPr>
          <w:sz w:val="20"/>
        </w:rPr>
        <w:t xml:space="preserve">). Com este resultado obtido foi possível analisar que o dispositivo não </w:t>
      </w:r>
      <w:r>
        <w:rPr>
          <w:sz w:val="20"/>
        </w:rPr>
        <w:lastRenderedPageBreak/>
        <w:t>ultrapassou o seu limite de escoamento</w:t>
      </w:r>
      <w:r w:rsidRPr="00AF1C37">
        <w:rPr>
          <w:sz w:val="20"/>
        </w:rPr>
        <w:t xml:space="preserve"> de 620,420 </w:t>
      </w:r>
      <w:r>
        <w:rPr>
          <w:sz w:val="20"/>
        </w:rPr>
        <w:t xml:space="preserve">MPa </w:t>
      </w:r>
      <w:r w:rsidRPr="00AF1C37">
        <w:rPr>
          <w:sz w:val="20"/>
        </w:rPr>
        <w:t>do qual o olhal do absorve</w:t>
      </w:r>
      <w:r>
        <w:rPr>
          <w:sz w:val="20"/>
        </w:rPr>
        <w:t>dor é</w:t>
      </w:r>
      <w:r w:rsidRPr="00AF1C37">
        <w:rPr>
          <w:sz w:val="20"/>
        </w:rPr>
        <w:t xml:space="preserve"> constituído</w:t>
      </w:r>
      <w:r>
        <w:rPr>
          <w:sz w:val="20"/>
        </w:rPr>
        <w:t>. Com isto ressaltamos que o absorvedor de carga se enquadra perante aos parâmetros propostos</w:t>
      </w:r>
      <w:r w:rsidRPr="00AF1C37">
        <w:rPr>
          <w:sz w:val="20"/>
        </w:rPr>
        <w:t xml:space="preserve"> pelo guia.</w:t>
      </w:r>
    </w:p>
    <w:p w:rsidR="00AF3502" w:rsidRDefault="00AF3502" w:rsidP="002D26F4">
      <w:pPr>
        <w:jc w:val="both"/>
        <w:rPr>
          <w:sz w:val="20"/>
        </w:rPr>
      </w:pPr>
    </w:p>
    <w:p w:rsidR="00AF3502" w:rsidRPr="006E72FD" w:rsidRDefault="00AF3502" w:rsidP="002D26F4">
      <w:pPr>
        <w:jc w:val="both"/>
        <w:rPr>
          <w:sz w:val="20"/>
        </w:rPr>
      </w:pPr>
      <w:r w:rsidRPr="006E72FD">
        <w:rPr>
          <w:sz w:val="20"/>
        </w:rPr>
        <w:t>Figura 5</w:t>
      </w:r>
      <w:r w:rsidR="00AA02D1">
        <w:rPr>
          <w:sz w:val="20"/>
        </w:rPr>
        <w:t>:</w:t>
      </w:r>
      <w:r w:rsidRPr="006E72FD">
        <w:rPr>
          <w:sz w:val="20"/>
        </w:rPr>
        <w:t xml:space="preserve"> Absorvedor de energia após a aplicação da carga com a tensão máxima suportada</w:t>
      </w:r>
      <w:r>
        <w:rPr>
          <w:sz w:val="20"/>
        </w:rPr>
        <w:t>.</w:t>
      </w:r>
    </w:p>
    <w:p w:rsidR="00AF3502" w:rsidRPr="00AF1C37" w:rsidRDefault="00370377" w:rsidP="002D26F4">
      <w:pPr>
        <w:jc w:val="both"/>
        <w:rPr>
          <w:sz w:val="20"/>
        </w:rPr>
      </w:pPr>
      <w:bookmarkStart w:id="4" w:name="_Hlk24658539"/>
      <w:r>
        <w:rPr>
          <w:noProof/>
          <w:lang w:eastAsia="pt-BR"/>
        </w:rPr>
        <w:drawing>
          <wp:inline distT="0" distB="0" distL="0" distR="0" wp14:anchorId="69F83391">
            <wp:extent cx="1695450" cy="18478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1847850"/>
                    </a:xfrm>
                    <a:prstGeom prst="rect">
                      <a:avLst/>
                    </a:prstGeom>
                    <a:noFill/>
                    <a:ln>
                      <a:noFill/>
                    </a:ln>
                  </pic:spPr>
                </pic:pic>
              </a:graphicData>
            </a:graphic>
          </wp:inline>
        </w:drawing>
      </w:r>
      <w:r>
        <w:rPr>
          <w:noProof/>
          <w:sz w:val="20"/>
          <w:lang w:eastAsia="pt-BR"/>
        </w:rPr>
        <w:drawing>
          <wp:inline distT="0" distB="0" distL="0" distR="0" wp14:anchorId="68498D37">
            <wp:extent cx="1181100" cy="31908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3190875"/>
                    </a:xfrm>
                    <a:prstGeom prst="rect">
                      <a:avLst/>
                    </a:prstGeom>
                    <a:noFill/>
                    <a:ln>
                      <a:noFill/>
                    </a:ln>
                  </pic:spPr>
                </pic:pic>
              </a:graphicData>
            </a:graphic>
          </wp:inline>
        </w:drawing>
      </w:r>
      <w:bookmarkEnd w:id="4"/>
    </w:p>
    <w:p w:rsidR="00AF3502" w:rsidRPr="006E72FD" w:rsidRDefault="00AF3502" w:rsidP="002D26F4">
      <w:pPr>
        <w:jc w:val="both"/>
        <w:rPr>
          <w:sz w:val="20"/>
        </w:rPr>
      </w:pPr>
      <w:r w:rsidRPr="006E72FD">
        <w:rPr>
          <w:sz w:val="20"/>
        </w:rPr>
        <w:t xml:space="preserve">Fonte: </w:t>
      </w:r>
      <w:r w:rsidR="00AA02D1">
        <w:rPr>
          <w:sz w:val="20"/>
        </w:rPr>
        <w:t>Os a</w:t>
      </w:r>
      <w:r w:rsidRPr="006E72FD">
        <w:rPr>
          <w:sz w:val="20"/>
        </w:rPr>
        <w:t>utores (2019)</w:t>
      </w:r>
      <w:r>
        <w:rPr>
          <w:sz w:val="20"/>
        </w:rPr>
        <w:t>.</w:t>
      </w:r>
    </w:p>
    <w:p w:rsidR="00AF3502" w:rsidRDefault="00AF3502" w:rsidP="002D26F4">
      <w:pPr>
        <w:ind w:firstLine="567"/>
        <w:jc w:val="both"/>
        <w:rPr>
          <w:sz w:val="20"/>
        </w:rPr>
      </w:pPr>
    </w:p>
    <w:p w:rsidR="00AF3502" w:rsidRDefault="00AF3502" w:rsidP="002D26F4">
      <w:pPr>
        <w:ind w:firstLine="567"/>
        <w:jc w:val="both"/>
        <w:rPr>
          <w:sz w:val="20"/>
        </w:rPr>
      </w:pPr>
      <w:r>
        <w:rPr>
          <w:sz w:val="20"/>
        </w:rPr>
        <w:t>É</w:t>
      </w:r>
      <w:r w:rsidRPr="00BF0D55">
        <w:rPr>
          <w:sz w:val="20"/>
        </w:rPr>
        <w:t xml:space="preserve"> possível observar que os elementos que compõem a linha de vida estão devidamente dimensionados a</w:t>
      </w:r>
      <w:r>
        <w:rPr>
          <w:sz w:val="20"/>
        </w:rPr>
        <w:t xml:space="preserve"> </w:t>
      </w:r>
      <w:r w:rsidRPr="00BF0D55">
        <w:rPr>
          <w:sz w:val="20"/>
        </w:rPr>
        <w:t xml:space="preserve">fim de suportar a carga de iteração do cabo de aço proposto pelo exemplo do guia. Em efeito de simulação foi considerada a carga de um corpo de 600 kgf. A carga incluída simulando a de um corpo foi considerada como </w:t>
      </w:r>
      <w:r>
        <w:rPr>
          <w:sz w:val="20"/>
        </w:rPr>
        <w:t xml:space="preserve">carga </w:t>
      </w:r>
      <w:r w:rsidRPr="00BF0D55">
        <w:rPr>
          <w:sz w:val="20"/>
        </w:rPr>
        <w:t>distribuída.</w:t>
      </w:r>
      <w:r>
        <w:rPr>
          <w:sz w:val="20"/>
        </w:rPr>
        <w:t xml:space="preserve"> </w:t>
      </w:r>
    </w:p>
    <w:p w:rsidR="00AF3502" w:rsidRDefault="00AF3502" w:rsidP="002D26F4">
      <w:pPr>
        <w:ind w:firstLine="567"/>
        <w:jc w:val="both"/>
        <w:rPr>
          <w:sz w:val="20"/>
        </w:rPr>
      </w:pPr>
      <w:r w:rsidRPr="00BF0D55">
        <w:rPr>
          <w:sz w:val="20"/>
        </w:rPr>
        <w:t>Mediante as cargas propostas pelo corpo e iteração do cabo de aço aplicadas na linha de vida inic</w:t>
      </w:r>
      <w:r>
        <w:rPr>
          <w:sz w:val="20"/>
        </w:rPr>
        <w:t>iou-se o estudo da mesma</w:t>
      </w:r>
      <w:r w:rsidRPr="00BF0D55">
        <w:rPr>
          <w:sz w:val="20"/>
        </w:rPr>
        <w:t>. A simulação aplicada a linha de vida tem o objetivo de demonstrar os reais comportamentos do dispositivo</w:t>
      </w:r>
      <w:r>
        <w:rPr>
          <w:sz w:val="20"/>
        </w:rPr>
        <w:t xml:space="preserve"> com uma iminente </w:t>
      </w:r>
      <w:r w:rsidRPr="00BF0D55">
        <w:rPr>
          <w:sz w:val="20"/>
        </w:rPr>
        <w:t>queda.</w:t>
      </w:r>
    </w:p>
    <w:p w:rsidR="00AF3502" w:rsidRDefault="00AF3502" w:rsidP="002D26F4">
      <w:pPr>
        <w:ind w:firstLine="567"/>
        <w:jc w:val="both"/>
        <w:rPr>
          <w:sz w:val="20"/>
        </w:rPr>
      </w:pPr>
      <w:r w:rsidRPr="00BF0D55">
        <w:rPr>
          <w:sz w:val="20"/>
        </w:rPr>
        <w:t>Através da ferramenta d</w:t>
      </w:r>
      <w:r>
        <w:rPr>
          <w:sz w:val="20"/>
        </w:rPr>
        <w:t xml:space="preserve">e simulação disponível no </w:t>
      </w:r>
      <w:proofErr w:type="spellStart"/>
      <w:r w:rsidRPr="00AA02D1">
        <w:rPr>
          <w:i/>
          <w:sz w:val="20"/>
        </w:rPr>
        <w:t>SolidWorks</w:t>
      </w:r>
      <w:proofErr w:type="spellEnd"/>
      <w:r w:rsidRPr="00BF0D55">
        <w:rPr>
          <w:sz w:val="20"/>
        </w:rPr>
        <w:t xml:space="preserve"> iniciou-se o estudo do comportamento da linha de vida utilizando os seguintes parâmetros: Malha sólida, gerador</w:t>
      </w:r>
      <w:r>
        <w:rPr>
          <w:sz w:val="20"/>
        </w:rPr>
        <w:t xml:space="preserve"> de malha com base em curvatura e</w:t>
      </w:r>
      <w:r w:rsidRPr="00BF0D55">
        <w:rPr>
          <w:sz w:val="20"/>
        </w:rPr>
        <w:t xml:space="preserve"> 4 pontos jacobianos. Por meio destes parâmetros aplicados foi possível obter elementos de malha com dimensões máximas de 50,0344 mm e 10,0069</w:t>
      </w:r>
      <w:r>
        <w:rPr>
          <w:sz w:val="20"/>
        </w:rPr>
        <w:t xml:space="preserve"> </w:t>
      </w:r>
      <w:r w:rsidRPr="00BF0D55">
        <w:rPr>
          <w:sz w:val="20"/>
        </w:rPr>
        <w:t xml:space="preserve">mm de dimensões mínimas conforme </w:t>
      </w:r>
      <w:r>
        <w:rPr>
          <w:sz w:val="20"/>
        </w:rPr>
        <w:t>Fig. 6.</w:t>
      </w:r>
    </w:p>
    <w:p w:rsidR="00AF3502" w:rsidRDefault="00AF3502" w:rsidP="002D26F4">
      <w:pPr>
        <w:ind w:firstLine="567"/>
        <w:jc w:val="both"/>
        <w:rPr>
          <w:sz w:val="20"/>
        </w:rPr>
      </w:pPr>
      <w:r>
        <w:rPr>
          <w:sz w:val="20"/>
        </w:rPr>
        <w:t>Analisando a Fig. 7</w:t>
      </w:r>
      <w:r w:rsidRPr="00BF0D55">
        <w:rPr>
          <w:sz w:val="20"/>
        </w:rPr>
        <w:t xml:space="preserve"> fora</w:t>
      </w:r>
      <w:r>
        <w:rPr>
          <w:sz w:val="20"/>
        </w:rPr>
        <w:t xml:space="preserve">m representadas por setas roxas </w:t>
      </w:r>
      <w:r w:rsidRPr="00BF0D55">
        <w:rPr>
          <w:sz w:val="20"/>
        </w:rPr>
        <w:t>as cargas aplicadas</w:t>
      </w:r>
      <w:r>
        <w:rPr>
          <w:sz w:val="20"/>
        </w:rPr>
        <w:t xml:space="preserve"> </w:t>
      </w:r>
      <w:r w:rsidRPr="00BF0D55">
        <w:rPr>
          <w:sz w:val="20"/>
        </w:rPr>
        <w:t>de forma distribuídas</w:t>
      </w:r>
      <w:r>
        <w:rPr>
          <w:sz w:val="20"/>
        </w:rPr>
        <w:t xml:space="preserve"> e</w:t>
      </w:r>
      <w:r w:rsidRPr="00BF0D55">
        <w:rPr>
          <w:sz w:val="20"/>
        </w:rPr>
        <w:t xml:space="preserve"> </w:t>
      </w:r>
      <w:r>
        <w:rPr>
          <w:sz w:val="20"/>
        </w:rPr>
        <w:t>perpendiculares, as setas verdes representam os pontos de apoio fixos</w:t>
      </w:r>
      <w:r w:rsidRPr="00BF0D55">
        <w:rPr>
          <w:sz w:val="20"/>
        </w:rPr>
        <w:t xml:space="preserve"> necessários para representação de uma estrutura fixa</w:t>
      </w:r>
      <w:r>
        <w:rPr>
          <w:sz w:val="20"/>
        </w:rPr>
        <w:t>,</w:t>
      </w:r>
      <w:r w:rsidRPr="00BF0D55">
        <w:rPr>
          <w:sz w:val="20"/>
        </w:rPr>
        <w:t xml:space="preserve"> como também para que não alterasse algum resultado mediante a simulação.</w:t>
      </w:r>
    </w:p>
    <w:p w:rsidR="00AF3502" w:rsidRDefault="00AF3502" w:rsidP="002D26F4">
      <w:pPr>
        <w:ind w:firstLine="567"/>
        <w:jc w:val="both"/>
        <w:rPr>
          <w:sz w:val="20"/>
        </w:rPr>
      </w:pPr>
      <w:r w:rsidRPr="00BF0D55">
        <w:rPr>
          <w:sz w:val="20"/>
        </w:rPr>
        <w:t xml:space="preserve">A força aplicada no cabo de aço para efeitos de simulação </w:t>
      </w:r>
      <w:r>
        <w:rPr>
          <w:sz w:val="20"/>
        </w:rPr>
        <w:t>de impacto causado pelo corpo do</w:t>
      </w:r>
      <w:r w:rsidRPr="00BF0D55">
        <w:rPr>
          <w:sz w:val="20"/>
        </w:rPr>
        <w:t xml:space="preserve"> operador f</w:t>
      </w:r>
      <w:r>
        <w:rPr>
          <w:sz w:val="20"/>
        </w:rPr>
        <w:t xml:space="preserve">oi </w:t>
      </w:r>
      <w:r>
        <w:rPr>
          <w:sz w:val="20"/>
        </w:rPr>
        <w:lastRenderedPageBreak/>
        <w:t xml:space="preserve">de 600 kgf </w:t>
      </w:r>
      <w:r w:rsidRPr="00BF0D55">
        <w:rPr>
          <w:sz w:val="20"/>
        </w:rPr>
        <w:t>conforme calculad</w:t>
      </w:r>
      <w:r>
        <w:rPr>
          <w:sz w:val="20"/>
        </w:rPr>
        <w:t xml:space="preserve">o pelo guia. </w:t>
      </w:r>
      <w:r w:rsidRPr="00BF0D55">
        <w:rPr>
          <w:sz w:val="20"/>
        </w:rPr>
        <w:t>Através desta aplicação de carga foi possível obter resultados que nos mostraram o comportamento da linha de vida.</w:t>
      </w:r>
      <w:r>
        <w:rPr>
          <w:sz w:val="20"/>
        </w:rPr>
        <w:t xml:space="preserve"> </w:t>
      </w:r>
    </w:p>
    <w:p w:rsidR="00AF3502" w:rsidRDefault="00AF3502" w:rsidP="002D26F4">
      <w:pPr>
        <w:ind w:firstLine="567"/>
        <w:jc w:val="both"/>
        <w:rPr>
          <w:sz w:val="20"/>
        </w:rPr>
      </w:pPr>
    </w:p>
    <w:p w:rsidR="00AF3502" w:rsidRPr="006E72FD" w:rsidRDefault="00AF3502" w:rsidP="002D26F4">
      <w:pPr>
        <w:rPr>
          <w:sz w:val="20"/>
        </w:rPr>
      </w:pPr>
      <w:r w:rsidRPr="006E72FD">
        <w:rPr>
          <w:sz w:val="20"/>
        </w:rPr>
        <w:t>Figura 6</w:t>
      </w:r>
      <w:r w:rsidR="00AA02D1">
        <w:rPr>
          <w:sz w:val="20"/>
        </w:rPr>
        <w:t>:</w:t>
      </w:r>
      <w:r w:rsidRPr="006E72FD">
        <w:rPr>
          <w:sz w:val="20"/>
        </w:rPr>
        <w:t xml:space="preserve"> Malha sólida de toda extensão da linha de vida</w:t>
      </w:r>
      <w:r>
        <w:rPr>
          <w:sz w:val="20"/>
        </w:rPr>
        <w:t>.</w:t>
      </w:r>
    </w:p>
    <w:p w:rsidR="00AF3502" w:rsidRDefault="00AF3502" w:rsidP="002D26F4">
      <w:pPr>
        <w:rPr>
          <w:sz w:val="20"/>
        </w:rPr>
      </w:pPr>
    </w:p>
    <w:p w:rsidR="00AF3502" w:rsidRDefault="00370377" w:rsidP="002D26F4">
      <w:pPr>
        <w:jc w:val="both"/>
        <w:rPr>
          <w:sz w:val="20"/>
        </w:rPr>
      </w:pPr>
      <w:r>
        <w:rPr>
          <w:noProof/>
          <w:lang w:eastAsia="pt-BR"/>
        </w:rPr>
        <w:drawing>
          <wp:inline distT="0" distB="0" distL="0" distR="0" wp14:anchorId="784D9208">
            <wp:extent cx="3105150" cy="22288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5150" cy="2228850"/>
                    </a:xfrm>
                    <a:prstGeom prst="rect">
                      <a:avLst/>
                    </a:prstGeom>
                    <a:noFill/>
                    <a:ln>
                      <a:noFill/>
                    </a:ln>
                  </pic:spPr>
                </pic:pic>
              </a:graphicData>
            </a:graphic>
          </wp:inline>
        </w:drawing>
      </w:r>
    </w:p>
    <w:p w:rsidR="00AF3502" w:rsidRPr="006E72FD" w:rsidRDefault="00AF3502" w:rsidP="002D26F4">
      <w:pPr>
        <w:jc w:val="both"/>
        <w:rPr>
          <w:sz w:val="20"/>
        </w:rPr>
      </w:pPr>
      <w:r w:rsidRPr="006E72FD">
        <w:rPr>
          <w:sz w:val="20"/>
        </w:rPr>
        <w:t>Fonte:</w:t>
      </w:r>
      <w:r w:rsidR="00AA02D1">
        <w:rPr>
          <w:sz w:val="20"/>
        </w:rPr>
        <w:t xml:space="preserve"> Os a</w:t>
      </w:r>
      <w:r w:rsidRPr="006E72FD">
        <w:rPr>
          <w:sz w:val="20"/>
        </w:rPr>
        <w:t>utores (2019)</w:t>
      </w:r>
      <w:r>
        <w:rPr>
          <w:sz w:val="20"/>
        </w:rPr>
        <w:t>.</w:t>
      </w:r>
    </w:p>
    <w:p w:rsidR="00AF3502" w:rsidRPr="006E72FD" w:rsidRDefault="00AF3502" w:rsidP="002D26F4">
      <w:pPr>
        <w:jc w:val="both"/>
        <w:rPr>
          <w:sz w:val="20"/>
        </w:rPr>
      </w:pPr>
    </w:p>
    <w:p w:rsidR="00AF3502" w:rsidRDefault="00AF3502" w:rsidP="002D26F4">
      <w:pPr>
        <w:ind w:firstLine="567"/>
        <w:jc w:val="both"/>
        <w:rPr>
          <w:sz w:val="20"/>
        </w:rPr>
      </w:pPr>
      <w:r w:rsidRPr="00BF0D55">
        <w:rPr>
          <w:sz w:val="20"/>
        </w:rPr>
        <w:t xml:space="preserve">Mediante a </w:t>
      </w:r>
      <w:r>
        <w:rPr>
          <w:sz w:val="20"/>
        </w:rPr>
        <w:t>Fig. 7</w:t>
      </w:r>
      <w:r w:rsidRPr="00BF0D55">
        <w:rPr>
          <w:sz w:val="20"/>
        </w:rPr>
        <w:t xml:space="preserve"> foi possível analisar que a linha de vida dimensionada apresent</w:t>
      </w:r>
      <w:r>
        <w:rPr>
          <w:sz w:val="20"/>
        </w:rPr>
        <w:t xml:space="preserve">ou uma tensão máxima de </w:t>
      </w:r>
      <w:r w:rsidR="00AA02D1">
        <w:rPr>
          <w:sz w:val="20"/>
        </w:rPr>
        <w:t xml:space="preserve">    </w:t>
      </w:r>
      <w:r>
        <w:rPr>
          <w:sz w:val="20"/>
        </w:rPr>
        <w:t>5,878 MP</w:t>
      </w:r>
      <w:r w:rsidRPr="00BF0D55">
        <w:rPr>
          <w:sz w:val="20"/>
        </w:rPr>
        <w:t>a. Analisando a linha de vida como um todo por meio da simulação foi possível nota</w:t>
      </w:r>
      <w:r>
        <w:rPr>
          <w:sz w:val="20"/>
        </w:rPr>
        <w:t>r</w:t>
      </w:r>
      <w:r w:rsidRPr="00BF0D55">
        <w:rPr>
          <w:sz w:val="20"/>
        </w:rPr>
        <w:t xml:space="preserve"> que o ponto onde gerou maior acúmulo de tensão foi próximo ao absorvedor de energia.</w:t>
      </w:r>
    </w:p>
    <w:p w:rsidR="00AF3502" w:rsidRDefault="00AF3502" w:rsidP="002D26F4">
      <w:pPr>
        <w:jc w:val="both"/>
        <w:rPr>
          <w:sz w:val="20"/>
        </w:rPr>
      </w:pPr>
    </w:p>
    <w:p w:rsidR="00AF3502" w:rsidRPr="006E72FD" w:rsidRDefault="00AF3502" w:rsidP="002D26F4">
      <w:pPr>
        <w:jc w:val="both"/>
        <w:rPr>
          <w:sz w:val="20"/>
        </w:rPr>
      </w:pPr>
      <w:r w:rsidRPr="006E72FD">
        <w:rPr>
          <w:sz w:val="20"/>
        </w:rPr>
        <w:t>Figura 7</w:t>
      </w:r>
      <w:r w:rsidR="00AA02D1">
        <w:rPr>
          <w:sz w:val="20"/>
        </w:rPr>
        <w:t>:</w:t>
      </w:r>
      <w:r w:rsidRPr="006E72FD">
        <w:rPr>
          <w:sz w:val="20"/>
        </w:rPr>
        <w:t xml:space="preserve"> Linha de vida após a aplicação da carga com a tensão máxima suportada</w:t>
      </w:r>
      <w:r>
        <w:rPr>
          <w:sz w:val="20"/>
        </w:rPr>
        <w:t>.</w:t>
      </w:r>
    </w:p>
    <w:p w:rsidR="00AF3502" w:rsidRPr="006E72FD" w:rsidRDefault="00370377" w:rsidP="002D26F4">
      <w:pPr>
        <w:rPr>
          <w:sz w:val="20"/>
        </w:rPr>
      </w:pPr>
      <w:r>
        <w:rPr>
          <w:noProof/>
          <w:lang w:eastAsia="pt-BR"/>
        </w:rPr>
        <w:drawing>
          <wp:inline distT="0" distB="0" distL="0" distR="0" wp14:anchorId="587EF8F3">
            <wp:extent cx="1819275" cy="20574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inline>
        </w:drawing>
      </w:r>
      <w:r>
        <w:rPr>
          <w:noProof/>
          <w:lang w:eastAsia="pt-BR"/>
        </w:rPr>
        <w:drawing>
          <wp:inline distT="0" distB="0" distL="0" distR="0" wp14:anchorId="65214502">
            <wp:extent cx="1133475" cy="29527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2952750"/>
                    </a:xfrm>
                    <a:prstGeom prst="rect">
                      <a:avLst/>
                    </a:prstGeom>
                    <a:noFill/>
                    <a:ln>
                      <a:noFill/>
                    </a:ln>
                  </pic:spPr>
                </pic:pic>
              </a:graphicData>
            </a:graphic>
          </wp:inline>
        </w:drawing>
      </w:r>
    </w:p>
    <w:p w:rsidR="00AF3502" w:rsidRPr="006E72FD" w:rsidRDefault="00AF3502" w:rsidP="002D26F4">
      <w:pPr>
        <w:rPr>
          <w:sz w:val="20"/>
        </w:rPr>
      </w:pPr>
      <w:r w:rsidRPr="006E72FD">
        <w:rPr>
          <w:sz w:val="20"/>
        </w:rPr>
        <w:t xml:space="preserve">Fonte: </w:t>
      </w:r>
      <w:r w:rsidR="00AA02D1">
        <w:rPr>
          <w:sz w:val="20"/>
        </w:rPr>
        <w:t>Os a</w:t>
      </w:r>
      <w:r w:rsidRPr="006E72FD">
        <w:rPr>
          <w:sz w:val="20"/>
        </w:rPr>
        <w:t>utores (2019)</w:t>
      </w:r>
      <w:r>
        <w:rPr>
          <w:sz w:val="20"/>
        </w:rPr>
        <w:t>.</w:t>
      </w:r>
    </w:p>
    <w:p w:rsidR="00AF3502" w:rsidRDefault="00AF3502" w:rsidP="002D26F4">
      <w:pPr>
        <w:ind w:firstLine="567"/>
        <w:jc w:val="both"/>
        <w:rPr>
          <w:sz w:val="20"/>
        </w:rPr>
      </w:pPr>
    </w:p>
    <w:p w:rsidR="00AF3502" w:rsidRDefault="00AF3502" w:rsidP="002D26F4">
      <w:pPr>
        <w:ind w:firstLine="567"/>
        <w:jc w:val="both"/>
        <w:rPr>
          <w:sz w:val="20"/>
        </w:rPr>
      </w:pPr>
      <w:r>
        <w:rPr>
          <w:sz w:val="20"/>
        </w:rPr>
        <w:t>S</w:t>
      </w:r>
      <w:r w:rsidRPr="00BF0D55">
        <w:rPr>
          <w:sz w:val="20"/>
        </w:rPr>
        <w:t>equencia</w:t>
      </w:r>
      <w:r>
        <w:rPr>
          <w:sz w:val="20"/>
        </w:rPr>
        <w:t>ndo</w:t>
      </w:r>
      <w:r w:rsidRPr="00BF0D55">
        <w:rPr>
          <w:sz w:val="20"/>
        </w:rPr>
        <w:t xml:space="preserve"> a simulação na linha de vida o próximo passo foi observar o comportamento do mesmo perante o conceito de deslocamento. Com o mesmo valor de </w:t>
      </w:r>
      <w:r w:rsidRPr="00BF0D55">
        <w:rPr>
          <w:sz w:val="20"/>
        </w:rPr>
        <w:lastRenderedPageBreak/>
        <w:t>carga distribuída aplicada na linha de vida foi possível observar que a mesma teve um deslocamento máximo de 6,486</w:t>
      </w:r>
      <w:r>
        <w:rPr>
          <w:sz w:val="20"/>
        </w:rPr>
        <w:t xml:space="preserve"> mm (Fig. 8)</w:t>
      </w:r>
      <w:r w:rsidRPr="00BF0D55">
        <w:rPr>
          <w:sz w:val="20"/>
        </w:rPr>
        <w:t>. Este deslocamento nos implica que me</w:t>
      </w:r>
      <w:r>
        <w:rPr>
          <w:sz w:val="20"/>
        </w:rPr>
        <w:t>diante a queda de um trabalhador</w:t>
      </w:r>
      <w:r w:rsidRPr="00BF0D55">
        <w:rPr>
          <w:sz w:val="20"/>
        </w:rPr>
        <w:t xml:space="preserve"> o cabo de aço utilizado no dimensionamento não chegaria ao ponto de ruptura, tendo assim sua função atendida perante aos parâmetros</w:t>
      </w:r>
      <w:r>
        <w:rPr>
          <w:sz w:val="20"/>
        </w:rPr>
        <w:t xml:space="preserve"> de segurança e</w:t>
      </w:r>
      <w:r w:rsidRPr="00BF0D55">
        <w:rPr>
          <w:sz w:val="20"/>
        </w:rPr>
        <w:t xml:space="preserve"> requeridos pelo guia.</w:t>
      </w:r>
    </w:p>
    <w:p w:rsidR="00AF3502" w:rsidRDefault="00AF3502" w:rsidP="002D26F4">
      <w:pPr>
        <w:jc w:val="both"/>
        <w:rPr>
          <w:sz w:val="20"/>
        </w:rPr>
      </w:pPr>
    </w:p>
    <w:p w:rsidR="00AF3502" w:rsidRPr="006E72FD" w:rsidRDefault="00AF3502" w:rsidP="002D26F4">
      <w:pPr>
        <w:jc w:val="both"/>
        <w:rPr>
          <w:sz w:val="20"/>
        </w:rPr>
      </w:pPr>
      <w:r w:rsidRPr="006E72FD">
        <w:rPr>
          <w:sz w:val="20"/>
        </w:rPr>
        <w:t>Figura 8</w:t>
      </w:r>
      <w:r w:rsidR="00AA02D1">
        <w:rPr>
          <w:sz w:val="20"/>
        </w:rPr>
        <w:t xml:space="preserve">: </w:t>
      </w:r>
      <w:r w:rsidRPr="006E72FD">
        <w:rPr>
          <w:sz w:val="20"/>
        </w:rPr>
        <w:t>Deslocamento produzido na linha de vida.</w:t>
      </w:r>
    </w:p>
    <w:p w:rsidR="00AF3502" w:rsidRPr="006E72FD" w:rsidRDefault="00370377" w:rsidP="002D26F4">
      <w:pPr>
        <w:jc w:val="both"/>
        <w:rPr>
          <w:sz w:val="20"/>
        </w:rPr>
      </w:pPr>
      <w:r>
        <w:rPr>
          <w:noProof/>
          <w:lang w:eastAsia="pt-BR"/>
        </w:rPr>
        <w:drawing>
          <wp:inline distT="0" distB="0" distL="0" distR="0" wp14:anchorId="4FE00F94">
            <wp:extent cx="2343150" cy="1924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150" cy="1924050"/>
                    </a:xfrm>
                    <a:prstGeom prst="rect">
                      <a:avLst/>
                    </a:prstGeom>
                    <a:noFill/>
                    <a:ln>
                      <a:noFill/>
                    </a:ln>
                  </pic:spPr>
                </pic:pic>
              </a:graphicData>
            </a:graphic>
          </wp:inline>
        </w:drawing>
      </w:r>
      <w:r>
        <w:rPr>
          <w:noProof/>
          <w:lang w:eastAsia="pt-BR"/>
        </w:rPr>
        <w:drawing>
          <wp:inline distT="0" distB="0" distL="0" distR="0" wp14:anchorId="6BBE56AF">
            <wp:extent cx="676275" cy="27527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275" cy="2752725"/>
                    </a:xfrm>
                    <a:prstGeom prst="rect">
                      <a:avLst/>
                    </a:prstGeom>
                    <a:noFill/>
                    <a:ln>
                      <a:noFill/>
                    </a:ln>
                  </pic:spPr>
                </pic:pic>
              </a:graphicData>
            </a:graphic>
          </wp:inline>
        </w:drawing>
      </w:r>
    </w:p>
    <w:p w:rsidR="00AA02D1" w:rsidRPr="006E72FD" w:rsidRDefault="00AA02D1" w:rsidP="00AA02D1">
      <w:pPr>
        <w:rPr>
          <w:sz w:val="20"/>
        </w:rPr>
      </w:pPr>
      <w:r w:rsidRPr="006E72FD">
        <w:rPr>
          <w:sz w:val="20"/>
        </w:rPr>
        <w:t xml:space="preserve">Fonte: </w:t>
      </w:r>
      <w:r>
        <w:rPr>
          <w:sz w:val="20"/>
        </w:rPr>
        <w:t>Os a</w:t>
      </w:r>
      <w:r w:rsidRPr="006E72FD">
        <w:rPr>
          <w:sz w:val="20"/>
        </w:rPr>
        <w:t>utores (2019)</w:t>
      </w:r>
      <w:r>
        <w:rPr>
          <w:sz w:val="20"/>
        </w:rPr>
        <w:t>.</w:t>
      </w:r>
    </w:p>
    <w:p w:rsidR="00AF3502" w:rsidRPr="006E72FD" w:rsidRDefault="00AF3502" w:rsidP="002D26F4">
      <w:pPr>
        <w:jc w:val="both"/>
        <w:rPr>
          <w:sz w:val="20"/>
        </w:rPr>
      </w:pPr>
    </w:p>
    <w:p w:rsidR="00AF3502" w:rsidRDefault="00AF3502" w:rsidP="002D26F4">
      <w:pPr>
        <w:ind w:firstLine="567"/>
        <w:jc w:val="both"/>
        <w:rPr>
          <w:sz w:val="20"/>
        </w:rPr>
      </w:pPr>
      <w:r w:rsidRPr="00B07722">
        <w:rPr>
          <w:sz w:val="20"/>
        </w:rPr>
        <w:t xml:space="preserve">Em sequência </w:t>
      </w:r>
      <w:r>
        <w:rPr>
          <w:sz w:val="20"/>
        </w:rPr>
        <w:t>de simulação o próximo passo foi</w:t>
      </w:r>
      <w:r w:rsidRPr="00B07722">
        <w:rPr>
          <w:sz w:val="20"/>
        </w:rPr>
        <w:t xml:space="preserve"> analisar a deformação gerada na linha de vida, mediante a aplicação de carga distribuída. Utilizando-se os mesmos parâmetros para</w:t>
      </w:r>
      <w:r>
        <w:rPr>
          <w:sz w:val="20"/>
        </w:rPr>
        <w:t xml:space="preserve"> a</w:t>
      </w:r>
      <w:r w:rsidRPr="00B07722">
        <w:rPr>
          <w:sz w:val="20"/>
        </w:rPr>
        <w:t xml:space="preserve"> malha e o mesmo valor de carga em simulação a deformação obtida foi de </w:t>
      </w:r>
      <w:r>
        <w:rPr>
          <w:sz w:val="20"/>
        </w:rPr>
        <w:t xml:space="preserve">0 </w:t>
      </w:r>
      <w:r w:rsidRPr="00B07722">
        <w:rPr>
          <w:sz w:val="20"/>
        </w:rPr>
        <w:t xml:space="preserve">mm </w:t>
      </w:r>
      <w:r>
        <w:rPr>
          <w:sz w:val="20"/>
        </w:rPr>
        <w:t>nas extremidades (Fig. 8). Diante da informação</w:t>
      </w:r>
      <w:r w:rsidRPr="00B07722">
        <w:rPr>
          <w:sz w:val="20"/>
        </w:rPr>
        <w:t xml:space="preserve"> </w:t>
      </w:r>
      <w:r>
        <w:rPr>
          <w:sz w:val="20"/>
        </w:rPr>
        <w:t>d</w:t>
      </w:r>
      <w:r w:rsidRPr="00B07722">
        <w:rPr>
          <w:sz w:val="20"/>
        </w:rPr>
        <w:t>o cabo de aço possuir um deslocamento de 6,486</w:t>
      </w:r>
      <w:r>
        <w:rPr>
          <w:sz w:val="20"/>
        </w:rPr>
        <w:t xml:space="preserve"> </w:t>
      </w:r>
      <w:r w:rsidRPr="00B07722">
        <w:rPr>
          <w:sz w:val="20"/>
        </w:rPr>
        <w:t>mm e o mesmo não ultrapassar seu limite de escoamento foi possível analisar através dos dados de simulação que a deformação gerada na linha de vida foi do tipo elástica.</w:t>
      </w:r>
    </w:p>
    <w:p w:rsidR="00AF3502" w:rsidRPr="00B07722" w:rsidRDefault="00AF3502" w:rsidP="002D26F4">
      <w:pPr>
        <w:ind w:firstLine="567"/>
        <w:jc w:val="both"/>
        <w:rPr>
          <w:sz w:val="20"/>
        </w:rPr>
      </w:pPr>
      <w:r>
        <w:rPr>
          <w:sz w:val="20"/>
        </w:rPr>
        <w:t>Lembrando que a deformação elástica</w:t>
      </w:r>
      <w:r w:rsidRPr="00B07722">
        <w:rPr>
          <w:sz w:val="20"/>
        </w:rPr>
        <w:t xml:space="preserve"> ocorre quando a tensão é removida e o material reto</w:t>
      </w:r>
      <w:r>
        <w:rPr>
          <w:sz w:val="20"/>
        </w:rPr>
        <w:t>rna às suas dimensões originais (</w:t>
      </w:r>
      <w:r w:rsidRPr="002A4260">
        <w:rPr>
          <w:sz w:val="20"/>
        </w:rPr>
        <w:t>KHAN ACADEMY</w:t>
      </w:r>
      <w:r>
        <w:rPr>
          <w:sz w:val="20"/>
        </w:rPr>
        <w:t>).</w:t>
      </w:r>
    </w:p>
    <w:p w:rsidR="00AF3502" w:rsidRDefault="00AF3502" w:rsidP="002D26F4">
      <w:pPr>
        <w:ind w:firstLine="567"/>
        <w:jc w:val="both"/>
        <w:rPr>
          <w:sz w:val="20"/>
        </w:rPr>
      </w:pPr>
      <w:r>
        <w:rPr>
          <w:sz w:val="20"/>
        </w:rPr>
        <w:t>Evidenciando agora os suportes da linha de vida foram analisados quais as reações do mesmo. O suporte da linha de vida tem como finalidade suportar as tensões propostas pela flecha do cabo de aço. No estudo do suporte é importante realçar que é onde há as maiores concentrações de tensões devido aos mesmos serem os únicos apoios da linha de vida. O suporte da linha de vida foi constituído com o aço ASTM-A36 onde o mesmo contém uma tensão de escoamento de 250 MPa (Fig. 9).</w:t>
      </w:r>
    </w:p>
    <w:p w:rsidR="00AF3502" w:rsidRDefault="00AF3502" w:rsidP="002D26F4">
      <w:pPr>
        <w:ind w:firstLine="567"/>
        <w:jc w:val="both"/>
        <w:rPr>
          <w:sz w:val="20"/>
        </w:rPr>
      </w:pPr>
      <w:r>
        <w:rPr>
          <w:sz w:val="20"/>
        </w:rPr>
        <w:t xml:space="preserve">Para o estudo de tensão de </w:t>
      </w:r>
      <w:r w:rsidRPr="007A7E38">
        <w:rPr>
          <w:sz w:val="20"/>
        </w:rPr>
        <w:t>teoria</w:t>
      </w:r>
      <w:r>
        <w:rPr>
          <w:sz w:val="20"/>
        </w:rPr>
        <w:t xml:space="preserve"> da máxima energia de distorção o suporte apresentou um resultado muito alto ao limite estipulado sendo demostrado um aumento de tensão significativo na posição do olhal soldado ao Metalon. Esse ponto excessivo de tensão demostrada na simulação </w:t>
      </w:r>
      <w:r>
        <w:rPr>
          <w:sz w:val="20"/>
        </w:rPr>
        <w:lastRenderedPageBreak/>
        <w:t>pode ser causado devido ao tratamento térmico provocado pelo processo de solda.</w:t>
      </w:r>
    </w:p>
    <w:p w:rsidR="00AF3502" w:rsidRDefault="00AF3502" w:rsidP="002D26F4">
      <w:pPr>
        <w:jc w:val="both"/>
        <w:rPr>
          <w:sz w:val="20"/>
        </w:rPr>
      </w:pPr>
    </w:p>
    <w:p w:rsidR="00AF3502" w:rsidRPr="006E72FD" w:rsidRDefault="00AF3502" w:rsidP="002D26F4">
      <w:pPr>
        <w:jc w:val="both"/>
        <w:rPr>
          <w:noProof/>
        </w:rPr>
      </w:pPr>
      <w:r w:rsidRPr="006E72FD">
        <w:rPr>
          <w:sz w:val="20"/>
        </w:rPr>
        <w:t>Figur</w:t>
      </w:r>
      <w:r w:rsidR="00AA02D1">
        <w:rPr>
          <w:sz w:val="20"/>
        </w:rPr>
        <w:t>a 9:</w:t>
      </w:r>
      <w:r w:rsidRPr="006E72FD">
        <w:rPr>
          <w:sz w:val="20"/>
        </w:rPr>
        <w:t xml:space="preserve"> Suporte de fixação após a aplicação da carga com a tensão máxima suportada</w:t>
      </w:r>
      <w:r>
        <w:rPr>
          <w:sz w:val="20"/>
        </w:rPr>
        <w:t>.</w:t>
      </w:r>
    </w:p>
    <w:p w:rsidR="00AF3502" w:rsidRDefault="00370377" w:rsidP="002D26F4">
      <w:pPr>
        <w:jc w:val="both"/>
        <w:rPr>
          <w:noProof/>
        </w:rPr>
      </w:pPr>
      <w:r>
        <w:rPr>
          <w:noProof/>
          <w:lang w:eastAsia="pt-BR"/>
        </w:rPr>
        <w:drawing>
          <wp:inline distT="0" distB="0" distL="0" distR="0" wp14:anchorId="39D6CD94">
            <wp:extent cx="1714500" cy="28765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0" cy="2876550"/>
                    </a:xfrm>
                    <a:prstGeom prst="rect">
                      <a:avLst/>
                    </a:prstGeom>
                    <a:noFill/>
                    <a:ln>
                      <a:noFill/>
                    </a:ln>
                  </pic:spPr>
                </pic:pic>
              </a:graphicData>
            </a:graphic>
          </wp:inline>
        </w:drawing>
      </w:r>
      <w:r>
        <w:rPr>
          <w:noProof/>
          <w:lang w:eastAsia="pt-BR"/>
        </w:rPr>
        <w:drawing>
          <wp:inline distT="0" distB="0" distL="0" distR="0" wp14:anchorId="668BB967">
            <wp:extent cx="1181100" cy="315277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3152775"/>
                    </a:xfrm>
                    <a:prstGeom prst="rect">
                      <a:avLst/>
                    </a:prstGeom>
                    <a:noFill/>
                    <a:ln>
                      <a:noFill/>
                    </a:ln>
                  </pic:spPr>
                </pic:pic>
              </a:graphicData>
            </a:graphic>
          </wp:inline>
        </w:drawing>
      </w:r>
    </w:p>
    <w:p w:rsidR="00AA02D1" w:rsidRPr="006E72FD" w:rsidRDefault="00AA02D1" w:rsidP="00AA02D1">
      <w:pPr>
        <w:rPr>
          <w:sz w:val="20"/>
        </w:rPr>
      </w:pPr>
      <w:r w:rsidRPr="006E72FD">
        <w:rPr>
          <w:sz w:val="20"/>
        </w:rPr>
        <w:t xml:space="preserve">Fonte: </w:t>
      </w:r>
      <w:r>
        <w:rPr>
          <w:sz w:val="20"/>
        </w:rPr>
        <w:t>Os a</w:t>
      </w:r>
      <w:r w:rsidRPr="006E72FD">
        <w:rPr>
          <w:sz w:val="20"/>
        </w:rPr>
        <w:t>utores (2019)</w:t>
      </w:r>
      <w:r>
        <w:rPr>
          <w:sz w:val="20"/>
        </w:rPr>
        <w:t>.</w:t>
      </w:r>
    </w:p>
    <w:p w:rsidR="00AF3502" w:rsidRPr="006E72FD" w:rsidRDefault="00AF3502" w:rsidP="002D26F4">
      <w:pPr>
        <w:ind w:firstLine="567"/>
        <w:jc w:val="both"/>
        <w:rPr>
          <w:sz w:val="20"/>
        </w:rPr>
      </w:pPr>
    </w:p>
    <w:p w:rsidR="00AF3502" w:rsidRPr="006E72FD" w:rsidRDefault="00AA02D1" w:rsidP="002D26F4">
      <w:pPr>
        <w:jc w:val="both"/>
        <w:rPr>
          <w:sz w:val="20"/>
        </w:rPr>
      </w:pPr>
      <w:r>
        <w:rPr>
          <w:sz w:val="20"/>
        </w:rPr>
        <w:t>Figura 10:</w:t>
      </w:r>
      <w:r w:rsidR="00AF3502" w:rsidRPr="006E72FD">
        <w:rPr>
          <w:sz w:val="20"/>
        </w:rPr>
        <w:t xml:space="preserve"> Deslocamento produzido no suporte de fixação</w:t>
      </w:r>
      <w:r w:rsidR="00AF3502">
        <w:rPr>
          <w:sz w:val="20"/>
        </w:rPr>
        <w:t>.</w:t>
      </w:r>
    </w:p>
    <w:p w:rsidR="00AF3502" w:rsidRDefault="00370377" w:rsidP="002D26F4">
      <w:pPr>
        <w:jc w:val="both"/>
        <w:rPr>
          <w:noProof/>
        </w:rPr>
      </w:pPr>
      <w:r>
        <w:rPr>
          <w:noProof/>
          <w:lang w:eastAsia="pt-BR"/>
        </w:rPr>
        <w:drawing>
          <wp:inline distT="0" distB="0" distL="0" distR="0" wp14:anchorId="4F1FC920">
            <wp:extent cx="1485900" cy="28384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0" cy="2838450"/>
                    </a:xfrm>
                    <a:prstGeom prst="rect">
                      <a:avLst/>
                    </a:prstGeom>
                    <a:noFill/>
                    <a:ln>
                      <a:noFill/>
                    </a:ln>
                  </pic:spPr>
                </pic:pic>
              </a:graphicData>
            </a:graphic>
          </wp:inline>
        </w:drawing>
      </w:r>
      <w:r w:rsidR="00AF3502">
        <w:rPr>
          <w:noProof/>
        </w:rPr>
        <w:t xml:space="preserve">       </w:t>
      </w:r>
      <w:r>
        <w:rPr>
          <w:noProof/>
          <w:lang w:eastAsia="pt-BR"/>
        </w:rPr>
        <w:drawing>
          <wp:inline distT="0" distB="0" distL="0" distR="0" wp14:anchorId="1F2679DB">
            <wp:extent cx="990600" cy="305752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3057525"/>
                    </a:xfrm>
                    <a:prstGeom prst="rect">
                      <a:avLst/>
                    </a:prstGeom>
                    <a:noFill/>
                    <a:ln>
                      <a:noFill/>
                    </a:ln>
                  </pic:spPr>
                </pic:pic>
              </a:graphicData>
            </a:graphic>
          </wp:inline>
        </w:drawing>
      </w:r>
    </w:p>
    <w:p w:rsidR="00AF3502" w:rsidRPr="00F8509D" w:rsidRDefault="00AF3502" w:rsidP="002D26F4">
      <w:pPr>
        <w:jc w:val="both"/>
        <w:rPr>
          <w:sz w:val="20"/>
          <w:szCs w:val="20"/>
        </w:rPr>
      </w:pPr>
    </w:p>
    <w:p w:rsidR="00AA02D1" w:rsidRPr="006E72FD" w:rsidRDefault="00AA02D1" w:rsidP="00AA02D1">
      <w:pPr>
        <w:rPr>
          <w:sz w:val="20"/>
        </w:rPr>
      </w:pPr>
      <w:r w:rsidRPr="006E72FD">
        <w:rPr>
          <w:sz w:val="20"/>
        </w:rPr>
        <w:t xml:space="preserve">Fonte: </w:t>
      </w:r>
      <w:r>
        <w:rPr>
          <w:sz w:val="20"/>
        </w:rPr>
        <w:t>Os a</w:t>
      </w:r>
      <w:r w:rsidRPr="006E72FD">
        <w:rPr>
          <w:sz w:val="20"/>
        </w:rPr>
        <w:t>utores (2019)</w:t>
      </w:r>
      <w:r>
        <w:rPr>
          <w:sz w:val="20"/>
        </w:rPr>
        <w:t>.</w:t>
      </w:r>
    </w:p>
    <w:p w:rsidR="00AF3502" w:rsidRDefault="00AF3502" w:rsidP="002D26F4">
      <w:pPr>
        <w:jc w:val="both"/>
        <w:rPr>
          <w:sz w:val="20"/>
        </w:rPr>
      </w:pPr>
    </w:p>
    <w:p w:rsidR="00AA02D1" w:rsidRDefault="00AA02D1" w:rsidP="00AA02D1">
      <w:pPr>
        <w:ind w:firstLine="567"/>
        <w:jc w:val="both"/>
        <w:rPr>
          <w:sz w:val="20"/>
        </w:rPr>
      </w:pPr>
      <w:r>
        <w:rPr>
          <w:sz w:val="20"/>
        </w:rPr>
        <w:t xml:space="preserve">Para o deslocamento causado pela iteração nesse caso o suporte (Fig. 10) apresentou pouca deformação tendo um deslocamento de 5,038 mm devido a tração causada pela carga da queda do operador. Analisando os dados propostos </w:t>
      </w:r>
      <w:r>
        <w:rPr>
          <w:sz w:val="20"/>
        </w:rPr>
        <w:lastRenderedPageBreak/>
        <w:t>pela simulação foi possível dizer que o Metalon escolhido apresenta bons resultados ao deslocamento, porém modificações relacionadas a solda do olhal devem ser alteradas a fim de minimizar a concentração de tensão.</w:t>
      </w:r>
    </w:p>
    <w:p w:rsidR="00AA02D1" w:rsidRPr="006E72FD" w:rsidRDefault="00AA02D1" w:rsidP="002D26F4">
      <w:pPr>
        <w:jc w:val="both"/>
        <w:rPr>
          <w:sz w:val="20"/>
        </w:rPr>
      </w:pPr>
    </w:p>
    <w:p w:rsidR="00AF3502" w:rsidRPr="006E72FD" w:rsidRDefault="00AF3502" w:rsidP="002D26F4">
      <w:pPr>
        <w:jc w:val="center"/>
        <w:rPr>
          <w:b/>
          <w:sz w:val="20"/>
          <w:szCs w:val="20"/>
        </w:rPr>
      </w:pPr>
      <w:r w:rsidRPr="006E72FD">
        <w:rPr>
          <w:b/>
          <w:sz w:val="20"/>
          <w:szCs w:val="20"/>
        </w:rPr>
        <w:t>CONCLUSÃO</w:t>
      </w:r>
    </w:p>
    <w:p w:rsidR="00AF3502" w:rsidRDefault="00AF3502" w:rsidP="002D26F4">
      <w:pPr>
        <w:jc w:val="right"/>
        <w:rPr>
          <w:color w:val="FF0000"/>
          <w:sz w:val="20"/>
        </w:rPr>
      </w:pPr>
    </w:p>
    <w:p w:rsidR="00AF3502" w:rsidRDefault="00AF3502" w:rsidP="002D26F4">
      <w:pPr>
        <w:ind w:firstLine="567"/>
        <w:jc w:val="both"/>
        <w:rPr>
          <w:sz w:val="20"/>
        </w:rPr>
      </w:pPr>
      <w:r>
        <w:rPr>
          <w:sz w:val="20"/>
        </w:rPr>
        <w:t>O Guia Prático para Cálculo de Linha de Vida e Restrição para a Indústria da Construção mostrou-se uma excelente fonte de informação para projetos de linhas de vida horizontal auxiliando com cálculos e exemplos precisos de construção e projetos das mesmas e podendo ser amplamente utilizado no meio industrial. Com o Guia e com o auxílio de normas técnicas vigentes foi de grande ajuda para desenvolvimento dessa análise de estruturas e cargas.</w:t>
      </w:r>
    </w:p>
    <w:p w:rsidR="00AF3502" w:rsidRDefault="00AF3502" w:rsidP="002D26F4">
      <w:pPr>
        <w:ind w:firstLine="567"/>
        <w:jc w:val="both"/>
        <w:rPr>
          <w:sz w:val="20"/>
        </w:rPr>
      </w:pPr>
      <w:r>
        <w:rPr>
          <w:sz w:val="20"/>
        </w:rPr>
        <w:t xml:space="preserve">Conclui-se que a utilização do método de elementos finitos por </w:t>
      </w:r>
      <w:proofErr w:type="spellStart"/>
      <w:r>
        <w:rPr>
          <w:sz w:val="20"/>
        </w:rPr>
        <w:t>software</w:t>
      </w:r>
      <w:proofErr w:type="spellEnd"/>
      <w:r>
        <w:rPr>
          <w:sz w:val="20"/>
        </w:rPr>
        <w:t xml:space="preserve"> através do Modo </w:t>
      </w:r>
      <w:proofErr w:type="spellStart"/>
      <w:r w:rsidRPr="00AA02D1">
        <w:rPr>
          <w:i/>
          <w:sz w:val="20"/>
        </w:rPr>
        <w:t>Simulation</w:t>
      </w:r>
      <w:proofErr w:type="spellEnd"/>
      <w:r>
        <w:rPr>
          <w:sz w:val="20"/>
        </w:rPr>
        <w:t xml:space="preserve"> do </w:t>
      </w:r>
      <w:proofErr w:type="spellStart"/>
      <w:r w:rsidRPr="00AA02D1">
        <w:rPr>
          <w:i/>
          <w:iCs/>
          <w:sz w:val="20"/>
        </w:rPr>
        <w:t>SolidWorks</w:t>
      </w:r>
      <w:proofErr w:type="spellEnd"/>
      <w:r>
        <w:rPr>
          <w:sz w:val="20"/>
        </w:rPr>
        <w:t xml:space="preserve"> foi confiável para a observação de possíveis falhas e pontos fracos na estrutura orientando profissionais da área de projetos para o melhor desenho possível e configuração da mesma.</w:t>
      </w:r>
    </w:p>
    <w:p w:rsidR="00AF3502" w:rsidRDefault="00AF3502" w:rsidP="002D26F4">
      <w:pPr>
        <w:ind w:firstLine="567"/>
        <w:jc w:val="both"/>
        <w:rPr>
          <w:sz w:val="20"/>
        </w:rPr>
      </w:pPr>
      <w:r>
        <w:rPr>
          <w:sz w:val="20"/>
        </w:rPr>
        <w:t xml:space="preserve">A comparação do exemplo apresentado no Guia com os resultados adquiridos por </w:t>
      </w:r>
      <w:proofErr w:type="spellStart"/>
      <w:r>
        <w:rPr>
          <w:sz w:val="20"/>
        </w:rPr>
        <w:t>software</w:t>
      </w:r>
      <w:proofErr w:type="spellEnd"/>
      <w:r>
        <w:rPr>
          <w:sz w:val="20"/>
        </w:rPr>
        <w:t xml:space="preserve"> mostrou-se de forma extremamente satisfatória onde tivemos a confirmação da resistência estrutural da linha de vida com as cargas previstas previamente garantindo o seu ideal funcionamento de acordo com o projeto e fornecendo segurança ao trabalhador. </w:t>
      </w:r>
    </w:p>
    <w:p w:rsidR="00AF3502" w:rsidRPr="00AF1C37" w:rsidRDefault="00AF3502" w:rsidP="002D26F4">
      <w:pPr>
        <w:ind w:firstLine="567"/>
        <w:jc w:val="both"/>
        <w:rPr>
          <w:sz w:val="20"/>
        </w:rPr>
      </w:pPr>
    </w:p>
    <w:p w:rsidR="00AF3502" w:rsidRPr="006E72FD" w:rsidRDefault="00AF3502" w:rsidP="002D26F4">
      <w:pPr>
        <w:jc w:val="center"/>
        <w:rPr>
          <w:b/>
          <w:sz w:val="20"/>
          <w:szCs w:val="20"/>
        </w:rPr>
      </w:pPr>
      <w:r w:rsidRPr="006E72FD">
        <w:rPr>
          <w:b/>
          <w:sz w:val="20"/>
          <w:szCs w:val="20"/>
        </w:rPr>
        <w:t>REFERÊNCIAS</w:t>
      </w:r>
    </w:p>
    <w:p w:rsidR="00AF3502" w:rsidRPr="006E72FD" w:rsidRDefault="00AF3502" w:rsidP="002D26F4">
      <w:pPr>
        <w:jc w:val="center"/>
        <w:rPr>
          <w:b/>
          <w:sz w:val="20"/>
          <w:szCs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NBR 11900-3</w:t>
      </w:r>
      <w:r w:rsidRPr="003D14A0">
        <w:rPr>
          <w:sz w:val="20"/>
        </w:rPr>
        <w:t>: Terminal para cabo de aço Parte 3: Olhal com presilha. Rio de Janeiro. 2018.</w:t>
      </w:r>
    </w:p>
    <w:p w:rsidR="00AF3502" w:rsidRPr="003D14A0" w:rsidRDefault="00AF3502" w:rsidP="002D26F4">
      <w:pPr>
        <w:rPr>
          <w:sz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NBR 14629</w:t>
      </w:r>
      <w:r w:rsidRPr="003D14A0">
        <w:rPr>
          <w:sz w:val="20"/>
        </w:rPr>
        <w:t>: Equipamento de proteção individual contra queda de altura – Absorvedor de energia. Rio de Janeiro. 2010.</w:t>
      </w:r>
    </w:p>
    <w:p w:rsidR="00AF3502" w:rsidRPr="003D14A0" w:rsidRDefault="00AF3502" w:rsidP="002D26F4">
      <w:pPr>
        <w:rPr>
          <w:sz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NBR 16325-1</w:t>
      </w:r>
      <w:r w:rsidRPr="003D14A0">
        <w:rPr>
          <w:sz w:val="20"/>
        </w:rPr>
        <w:t xml:space="preserve">: Proteção contra quedas Parte 1: Dispositivos de ancoragem tipos </w:t>
      </w:r>
      <w:proofErr w:type="gramStart"/>
      <w:r w:rsidRPr="003D14A0">
        <w:rPr>
          <w:sz w:val="20"/>
        </w:rPr>
        <w:t>A, B</w:t>
      </w:r>
      <w:proofErr w:type="gramEnd"/>
      <w:r w:rsidRPr="003D14A0">
        <w:rPr>
          <w:sz w:val="20"/>
        </w:rPr>
        <w:t xml:space="preserve"> e D. Rio de Janeiro. 2014.</w:t>
      </w:r>
    </w:p>
    <w:p w:rsidR="00AF3502" w:rsidRPr="003D14A0" w:rsidRDefault="00AF3502" w:rsidP="002D26F4">
      <w:pPr>
        <w:rPr>
          <w:sz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NBR 16325-2</w:t>
      </w:r>
      <w:r w:rsidRPr="003D14A0">
        <w:rPr>
          <w:sz w:val="20"/>
        </w:rPr>
        <w:t>: Proteção contra quedas de altura Parte 2: Dispositivos de ancoragem tipo C. Rio de Janeiro. 2014.</w:t>
      </w:r>
    </w:p>
    <w:p w:rsidR="00AF3502" w:rsidRPr="003D14A0" w:rsidRDefault="00AF3502" w:rsidP="002D26F4">
      <w:pPr>
        <w:rPr>
          <w:sz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NBR 7160</w:t>
      </w:r>
      <w:r w:rsidRPr="003D14A0">
        <w:rPr>
          <w:sz w:val="20"/>
        </w:rPr>
        <w:t>: Grampo leve para cabo de aço. Rio de Janeiro. 1990.</w:t>
      </w:r>
    </w:p>
    <w:p w:rsidR="00AF3502" w:rsidRPr="003D14A0" w:rsidRDefault="00AF3502" w:rsidP="002D26F4">
      <w:pPr>
        <w:rPr>
          <w:sz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NBR 8029</w:t>
      </w:r>
      <w:r w:rsidRPr="003D14A0">
        <w:rPr>
          <w:sz w:val="20"/>
        </w:rPr>
        <w:t>: Esticador para cabo de aço – Requisitos. Rio de Janeiro. 2013.</w:t>
      </w:r>
    </w:p>
    <w:p w:rsidR="00AF3502" w:rsidRPr="003D14A0" w:rsidRDefault="00AF3502" w:rsidP="002D26F4">
      <w:pPr>
        <w:rPr>
          <w:sz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NBR 8800</w:t>
      </w:r>
      <w:r w:rsidRPr="003D14A0">
        <w:rPr>
          <w:sz w:val="20"/>
        </w:rPr>
        <w:t>: Projeto de estruturas de aço e de estruturas mistas de aço e concreto de edifícios. Rio de Janeiro. 2008.</w:t>
      </w:r>
    </w:p>
    <w:p w:rsidR="00AF3502" w:rsidRPr="003D14A0" w:rsidRDefault="00AF3502" w:rsidP="002D26F4">
      <w:pPr>
        <w:rPr>
          <w:sz w:val="20"/>
        </w:rPr>
      </w:pPr>
    </w:p>
    <w:p w:rsidR="00AF3502" w:rsidRPr="003D14A0" w:rsidRDefault="00AF3502" w:rsidP="002D26F4">
      <w:pPr>
        <w:rPr>
          <w:sz w:val="20"/>
        </w:rPr>
      </w:pPr>
      <w:r w:rsidRPr="003D14A0">
        <w:rPr>
          <w:sz w:val="20"/>
        </w:rPr>
        <w:lastRenderedPageBreak/>
        <w:t xml:space="preserve">ABNT - Associação Brasileira de Normas Técnicas. </w:t>
      </w:r>
      <w:r w:rsidRPr="001A036D">
        <w:rPr>
          <w:b/>
          <w:sz w:val="20"/>
        </w:rPr>
        <w:t>NBR ISO 2307:</w:t>
      </w:r>
      <w:r w:rsidRPr="003D14A0">
        <w:rPr>
          <w:sz w:val="20"/>
        </w:rPr>
        <w:t xml:space="preserve"> Cabos de fibra – determinação de certas propriedades físicas e mecânicas. Rio de Janeiro. 2012.</w:t>
      </w:r>
    </w:p>
    <w:p w:rsidR="001D3E2F" w:rsidRPr="003D14A0" w:rsidRDefault="001D3E2F" w:rsidP="002D26F4">
      <w:pPr>
        <w:rPr>
          <w:sz w:val="20"/>
        </w:rPr>
      </w:pPr>
    </w:p>
    <w:p w:rsidR="00AF3502" w:rsidRPr="003D14A0" w:rsidRDefault="00AF3502" w:rsidP="002D26F4">
      <w:pPr>
        <w:rPr>
          <w:sz w:val="20"/>
        </w:rPr>
      </w:pPr>
      <w:r w:rsidRPr="003D14A0">
        <w:rPr>
          <w:sz w:val="20"/>
        </w:rPr>
        <w:t xml:space="preserve">ABNT - Associação Brasileira de Normas Técnicas. </w:t>
      </w:r>
      <w:r w:rsidRPr="001A036D">
        <w:rPr>
          <w:b/>
          <w:sz w:val="20"/>
        </w:rPr>
        <w:t xml:space="preserve">NBR ISO 2408: </w:t>
      </w:r>
      <w:r w:rsidRPr="003D14A0">
        <w:rPr>
          <w:sz w:val="20"/>
        </w:rPr>
        <w:t>Cabos de aço – Requisitos. Rio de Janeiro. 2019.</w:t>
      </w:r>
    </w:p>
    <w:p w:rsidR="00AF3502" w:rsidRPr="003D14A0" w:rsidRDefault="00AF3502" w:rsidP="002D26F4">
      <w:pPr>
        <w:rPr>
          <w:sz w:val="20"/>
        </w:rPr>
      </w:pPr>
    </w:p>
    <w:p w:rsidR="00AF3502" w:rsidRPr="003D14A0" w:rsidRDefault="00AF3502" w:rsidP="002D26F4">
      <w:pPr>
        <w:rPr>
          <w:sz w:val="20"/>
        </w:rPr>
      </w:pPr>
      <w:r w:rsidRPr="003D14A0">
        <w:rPr>
          <w:sz w:val="20"/>
        </w:rPr>
        <w:t xml:space="preserve">BRASIL </w:t>
      </w:r>
      <w:r w:rsidRPr="001A036D">
        <w:rPr>
          <w:b/>
          <w:sz w:val="20"/>
        </w:rPr>
        <w:t xml:space="preserve">Ministério do Trabalho </w:t>
      </w:r>
      <w:r w:rsidRPr="001A036D">
        <w:rPr>
          <w:b/>
          <w:bCs/>
          <w:sz w:val="20"/>
        </w:rPr>
        <w:t>NR 35</w:t>
      </w:r>
      <w:r w:rsidRPr="003D14A0">
        <w:rPr>
          <w:bCs/>
          <w:sz w:val="20"/>
        </w:rPr>
        <w:t xml:space="preserve">–Trabalho em Altura. </w:t>
      </w:r>
      <w:r w:rsidRPr="003D14A0">
        <w:rPr>
          <w:sz w:val="20"/>
        </w:rPr>
        <w:t xml:space="preserve">Brasília, 2015. Disponível em: </w:t>
      </w:r>
      <w:r w:rsidRPr="003D14A0">
        <w:rPr>
          <w:sz w:val="20"/>
          <w:szCs w:val="20"/>
        </w:rPr>
        <w:t>&lt;http://trabalho.gov.br/seguranca-e-saude-no-trabalho/normatizacao/normas-regulamentadoras/norma-regulamentadora-n-35-trabalho-em-altura&gt;</w:t>
      </w:r>
      <w:r w:rsidRPr="003D14A0">
        <w:rPr>
          <w:sz w:val="20"/>
        </w:rPr>
        <w:t>. Acesso em 21 set. 2019.</w:t>
      </w:r>
    </w:p>
    <w:p w:rsidR="00AF3502" w:rsidRPr="003D14A0" w:rsidRDefault="00AF3502" w:rsidP="002D26F4">
      <w:pPr>
        <w:rPr>
          <w:sz w:val="20"/>
        </w:rPr>
      </w:pPr>
    </w:p>
    <w:p w:rsidR="00AF3502" w:rsidRPr="003D14A0" w:rsidRDefault="00AF3502" w:rsidP="002D26F4">
      <w:pPr>
        <w:rPr>
          <w:color w:val="000000" w:themeColor="text1"/>
          <w:sz w:val="20"/>
        </w:rPr>
      </w:pPr>
      <w:r w:rsidRPr="003D14A0">
        <w:rPr>
          <w:color w:val="000000" w:themeColor="text1"/>
          <w:sz w:val="20"/>
        </w:rPr>
        <w:t xml:space="preserve">BRITISH STANDARD – </w:t>
      </w:r>
      <w:r w:rsidRPr="001A036D">
        <w:rPr>
          <w:b/>
          <w:color w:val="000000" w:themeColor="text1"/>
          <w:sz w:val="20"/>
        </w:rPr>
        <w:t>UK. EM 795</w:t>
      </w:r>
      <w:r w:rsidRPr="003D14A0">
        <w:rPr>
          <w:color w:val="000000" w:themeColor="text1"/>
          <w:sz w:val="20"/>
        </w:rPr>
        <w:t>, 2012. Disponível em: &lt;https://www.iso.org/member/2064.html&gt;. Acesso em: 24 set. 2019.</w:t>
      </w:r>
    </w:p>
    <w:p w:rsidR="00AF3502" w:rsidRPr="003D14A0" w:rsidRDefault="00AF3502" w:rsidP="002D26F4">
      <w:pPr>
        <w:rPr>
          <w:sz w:val="20"/>
        </w:rPr>
      </w:pPr>
    </w:p>
    <w:p w:rsidR="00AF3502" w:rsidRPr="003D14A0" w:rsidRDefault="00AF3502" w:rsidP="002D26F4">
      <w:pPr>
        <w:rPr>
          <w:sz w:val="20"/>
        </w:rPr>
      </w:pPr>
      <w:r w:rsidRPr="003D14A0">
        <w:rPr>
          <w:sz w:val="20"/>
        </w:rPr>
        <w:t xml:space="preserve">CBIC - SAMPAIO, José Carlos de Arruda; SIMON, Wilson Roberto. </w:t>
      </w:r>
      <w:r w:rsidRPr="001A036D">
        <w:rPr>
          <w:b/>
          <w:sz w:val="20"/>
        </w:rPr>
        <w:t>Guia Prático para Cálculo de Linha de Vida e Restrição para Indústria da Construção</w:t>
      </w:r>
      <w:r w:rsidRPr="003D14A0">
        <w:rPr>
          <w:sz w:val="20"/>
        </w:rPr>
        <w:t xml:space="preserve">. Brasília: </w:t>
      </w:r>
      <w:r w:rsidRPr="001A036D">
        <w:rPr>
          <w:sz w:val="20"/>
        </w:rPr>
        <w:t>SESI</w:t>
      </w:r>
      <w:r w:rsidRPr="003D14A0">
        <w:rPr>
          <w:sz w:val="20"/>
        </w:rPr>
        <w:t>, 2017. Disponível em: &lt;https://cbic.org.br/wp-content/uploads/2019/04/guia_pratico_para_calculo_de_linha_de_vida_e_restricao_para_industria_da_construcao_v2.pdf&gt;. Acesso em: 19 set. 2019.</w:t>
      </w:r>
    </w:p>
    <w:p w:rsidR="00AF3502" w:rsidRPr="003D14A0" w:rsidRDefault="00AF3502" w:rsidP="002D26F4">
      <w:pPr>
        <w:rPr>
          <w:sz w:val="20"/>
        </w:rPr>
      </w:pPr>
    </w:p>
    <w:p w:rsidR="00AF3502" w:rsidRPr="003F08A3" w:rsidRDefault="00AF3502" w:rsidP="002D26F4">
      <w:pPr>
        <w:rPr>
          <w:sz w:val="20"/>
        </w:rPr>
      </w:pPr>
      <w:r w:rsidRPr="003D14A0">
        <w:rPr>
          <w:sz w:val="20"/>
        </w:rPr>
        <w:t xml:space="preserve">DASSAULT SYSTÈMES. </w:t>
      </w:r>
      <w:r w:rsidRPr="001A036D">
        <w:rPr>
          <w:b/>
          <w:sz w:val="20"/>
        </w:rPr>
        <w:t>Ajuda do SOLIDWORKS</w:t>
      </w:r>
      <w:r w:rsidRPr="003D14A0">
        <w:rPr>
          <w:sz w:val="20"/>
        </w:rPr>
        <w:t>. 2018. Disponível em: &lt;</w:t>
      </w:r>
      <w:r w:rsidRPr="003D14A0">
        <w:t xml:space="preserve"> </w:t>
      </w:r>
      <w:r w:rsidRPr="003D14A0">
        <w:rPr>
          <w:sz w:val="20"/>
        </w:rPr>
        <w:t xml:space="preserve">http://help.solidworks.com/2018/portuguese-brazilian/solidworks/cworks/idc_help_preference_mesh.htm&gt;. </w:t>
      </w:r>
      <w:r w:rsidRPr="003F08A3">
        <w:rPr>
          <w:sz w:val="20"/>
        </w:rPr>
        <w:t>Acesso em: 19 nov. 2019.</w:t>
      </w:r>
    </w:p>
    <w:p w:rsidR="00AF3502" w:rsidRPr="003F08A3" w:rsidRDefault="00AF3502" w:rsidP="002D26F4">
      <w:pPr>
        <w:rPr>
          <w:sz w:val="20"/>
        </w:rPr>
      </w:pPr>
    </w:p>
    <w:p w:rsidR="00AF3502" w:rsidRPr="003D14A0" w:rsidRDefault="00AF3502" w:rsidP="002D26F4">
      <w:pPr>
        <w:rPr>
          <w:sz w:val="20"/>
          <w:szCs w:val="20"/>
          <w:lang w:val="en-US"/>
        </w:rPr>
      </w:pPr>
      <w:r w:rsidRPr="003D14A0">
        <w:rPr>
          <w:sz w:val="20"/>
          <w:szCs w:val="20"/>
          <w:lang w:val="en-US"/>
        </w:rPr>
        <w:t xml:space="preserve">DIN- 5299. </w:t>
      </w:r>
      <w:proofErr w:type="spellStart"/>
      <w:r w:rsidRPr="001A036D">
        <w:rPr>
          <w:b/>
          <w:sz w:val="20"/>
          <w:szCs w:val="20"/>
          <w:lang w:val="en-US"/>
        </w:rPr>
        <w:t>Karabinerhaken</w:t>
      </w:r>
      <w:proofErr w:type="spellEnd"/>
      <w:r w:rsidRPr="003D14A0">
        <w:rPr>
          <w:sz w:val="20"/>
          <w:szCs w:val="20"/>
          <w:lang w:val="en-US"/>
        </w:rPr>
        <w:t xml:space="preserve">. </w:t>
      </w:r>
      <w:proofErr w:type="spellStart"/>
      <w:r w:rsidRPr="003D14A0">
        <w:rPr>
          <w:sz w:val="20"/>
          <w:szCs w:val="20"/>
          <w:lang w:val="en-US"/>
        </w:rPr>
        <w:t>Deutsches</w:t>
      </w:r>
      <w:proofErr w:type="spellEnd"/>
      <w:r w:rsidRPr="003D14A0">
        <w:rPr>
          <w:sz w:val="20"/>
          <w:szCs w:val="20"/>
          <w:lang w:val="en-US"/>
        </w:rPr>
        <w:t xml:space="preserve"> </w:t>
      </w:r>
      <w:proofErr w:type="spellStart"/>
      <w:r w:rsidRPr="003D14A0">
        <w:rPr>
          <w:sz w:val="20"/>
          <w:szCs w:val="20"/>
          <w:lang w:val="en-US"/>
        </w:rPr>
        <w:t>Institut</w:t>
      </w:r>
      <w:proofErr w:type="spellEnd"/>
      <w:r w:rsidRPr="003D14A0">
        <w:rPr>
          <w:sz w:val="20"/>
          <w:szCs w:val="20"/>
          <w:lang w:val="en-US"/>
        </w:rPr>
        <w:t xml:space="preserve"> </w:t>
      </w:r>
      <w:proofErr w:type="spellStart"/>
      <w:r w:rsidRPr="003D14A0">
        <w:rPr>
          <w:sz w:val="20"/>
          <w:szCs w:val="20"/>
          <w:lang w:val="en-US"/>
        </w:rPr>
        <w:t>für</w:t>
      </w:r>
      <w:proofErr w:type="spellEnd"/>
      <w:r w:rsidRPr="003D14A0">
        <w:rPr>
          <w:sz w:val="20"/>
          <w:szCs w:val="20"/>
          <w:lang w:val="en-US"/>
        </w:rPr>
        <w:t xml:space="preserve"> </w:t>
      </w:r>
      <w:proofErr w:type="spellStart"/>
      <w:r w:rsidRPr="003D14A0">
        <w:rPr>
          <w:sz w:val="20"/>
          <w:szCs w:val="20"/>
          <w:lang w:val="en-US"/>
        </w:rPr>
        <w:t>Normung</w:t>
      </w:r>
      <w:proofErr w:type="spellEnd"/>
      <w:r w:rsidRPr="003D14A0">
        <w:rPr>
          <w:sz w:val="20"/>
          <w:szCs w:val="20"/>
          <w:lang w:val="en-US"/>
        </w:rPr>
        <w:t xml:space="preserve">. </w:t>
      </w:r>
    </w:p>
    <w:p w:rsidR="00AF3502" w:rsidRPr="003D14A0" w:rsidRDefault="00AF3502" w:rsidP="002D26F4">
      <w:pPr>
        <w:rPr>
          <w:sz w:val="20"/>
          <w:lang w:val="en-US"/>
        </w:rPr>
      </w:pPr>
    </w:p>
    <w:p w:rsidR="00AF3502" w:rsidRPr="003D14A0" w:rsidRDefault="00AF3502" w:rsidP="002D26F4">
      <w:pPr>
        <w:rPr>
          <w:sz w:val="20"/>
          <w:szCs w:val="20"/>
          <w:lang w:val="en-US"/>
        </w:rPr>
      </w:pPr>
      <w:r w:rsidRPr="003D14A0">
        <w:rPr>
          <w:sz w:val="20"/>
          <w:szCs w:val="20"/>
          <w:lang w:val="en-US"/>
        </w:rPr>
        <w:t xml:space="preserve">DIN- 6899. </w:t>
      </w:r>
      <w:proofErr w:type="spellStart"/>
      <w:r w:rsidRPr="001A036D">
        <w:rPr>
          <w:b/>
          <w:sz w:val="20"/>
          <w:szCs w:val="20"/>
          <w:lang w:val="en-US"/>
        </w:rPr>
        <w:t>Seilkausche</w:t>
      </w:r>
      <w:proofErr w:type="spellEnd"/>
      <w:r w:rsidRPr="003D14A0">
        <w:rPr>
          <w:sz w:val="20"/>
          <w:szCs w:val="20"/>
          <w:lang w:val="en-US"/>
        </w:rPr>
        <w:t xml:space="preserve">. </w:t>
      </w:r>
      <w:proofErr w:type="spellStart"/>
      <w:r w:rsidRPr="003D14A0">
        <w:rPr>
          <w:sz w:val="20"/>
          <w:szCs w:val="20"/>
          <w:lang w:val="en-US"/>
        </w:rPr>
        <w:t>Deutsches</w:t>
      </w:r>
      <w:proofErr w:type="spellEnd"/>
      <w:r w:rsidRPr="003D14A0">
        <w:rPr>
          <w:sz w:val="20"/>
          <w:szCs w:val="20"/>
          <w:lang w:val="en-US"/>
        </w:rPr>
        <w:t xml:space="preserve"> </w:t>
      </w:r>
      <w:proofErr w:type="spellStart"/>
      <w:r w:rsidRPr="003D14A0">
        <w:rPr>
          <w:sz w:val="20"/>
          <w:szCs w:val="20"/>
          <w:lang w:val="en-US"/>
        </w:rPr>
        <w:t>Institut</w:t>
      </w:r>
      <w:proofErr w:type="spellEnd"/>
      <w:r w:rsidRPr="003D14A0">
        <w:rPr>
          <w:sz w:val="20"/>
          <w:szCs w:val="20"/>
          <w:lang w:val="en-US"/>
        </w:rPr>
        <w:t xml:space="preserve"> </w:t>
      </w:r>
      <w:proofErr w:type="spellStart"/>
      <w:r w:rsidRPr="003D14A0">
        <w:rPr>
          <w:sz w:val="20"/>
          <w:szCs w:val="20"/>
          <w:lang w:val="en-US"/>
        </w:rPr>
        <w:t>für</w:t>
      </w:r>
      <w:proofErr w:type="spellEnd"/>
      <w:r w:rsidRPr="003D14A0">
        <w:rPr>
          <w:sz w:val="20"/>
          <w:szCs w:val="20"/>
          <w:lang w:val="en-US"/>
        </w:rPr>
        <w:t xml:space="preserve"> </w:t>
      </w:r>
      <w:proofErr w:type="spellStart"/>
      <w:r w:rsidRPr="003D14A0">
        <w:rPr>
          <w:sz w:val="20"/>
          <w:szCs w:val="20"/>
          <w:lang w:val="en-US"/>
        </w:rPr>
        <w:t>Normung</w:t>
      </w:r>
      <w:proofErr w:type="spellEnd"/>
      <w:r w:rsidRPr="003D14A0">
        <w:rPr>
          <w:sz w:val="20"/>
          <w:szCs w:val="20"/>
          <w:lang w:val="en-US"/>
        </w:rPr>
        <w:t xml:space="preserve">. </w:t>
      </w:r>
    </w:p>
    <w:p w:rsidR="00AF3502" w:rsidRPr="003D14A0" w:rsidRDefault="00AF3502" w:rsidP="002D26F4">
      <w:pPr>
        <w:rPr>
          <w:sz w:val="20"/>
          <w:szCs w:val="20"/>
          <w:lang w:val="en-US"/>
        </w:rPr>
      </w:pPr>
    </w:p>
    <w:p w:rsidR="00AF3502" w:rsidRPr="003D14A0" w:rsidRDefault="00AF3502" w:rsidP="002D26F4">
      <w:pPr>
        <w:rPr>
          <w:sz w:val="20"/>
        </w:rPr>
      </w:pPr>
      <w:r w:rsidRPr="003F08A3">
        <w:rPr>
          <w:sz w:val="20"/>
        </w:rPr>
        <w:t xml:space="preserve">KHAN ACADEMY. </w:t>
      </w:r>
      <w:r w:rsidRPr="001A036D">
        <w:rPr>
          <w:b/>
          <w:bCs/>
          <w:sz w:val="20"/>
        </w:rPr>
        <w:t xml:space="preserve">O que é a lei de </w:t>
      </w:r>
      <w:proofErr w:type="spellStart"/>
      <w:r w:rsidRPr="001A036D">
        <w:rPr>
          <w:b/>
          <w:bCs/>
          <w:sz w:val="20"/>
        </w:rPr>
        <w:t>Hooke</w:t>
      </w:r>
      <w:proofErr w:type="spellEnd"/>
      <w:r w:rsidRPr="001A036D">
        <w:rPr>
          <w:b/>
          <w:bCs/>
          <w:sz w:val="20"/>
        </w:rPr>
        <w:t>?</w:t>
      </w:r>
      <w:r w:rsidRPr="003D14A0">
        <w:rPr>
          <w:sz w:val="20"/>
        </w:rPr>
        <w:t xml:space="preserve"> 2015.</w:t>
      </w:r>
      <w:r w:rsidR="001D3E2F" w:rsidRPr="003D14A0">
        <w:rPr>
          <w:sz w:val="20"/>
        </w:rPr>
        <w:t xml:space="preserve"> </w:t>
      </w:r>
      <w:r w:rsidRPr="003D14A0">
        <w:rPr>
          <w:sz w:val="20"/>
        </w:rPr>
        <w:t>Disponível em:</w:t>
      </w:r>
      <w:r w:rsidR="001D3E2F" w:rsidRPr="003D14A0">
        <w:rPr>
          <w:sz w:val="20"/>
        </w:rPr>
        <w:t xml:space="preserve"> </w:t>
      </w:r>
      <w:r w:rsidRPr="003D14A0">
        <w:rPr>
          <w:sz w:val="20"/>
        </w:rPr>
        <w:t>&lt;https://pt.khanacademy.org/science/physics/work-and-energy/hookes-law/a/what-is-hookes-law&gt;. Acesso em: 14 nov. 2019.</w:t>
      </w:r>
    </w:p>
    <w:p w:rsidR="00AF3502" w:rsidRPr="003D14A0" w:rsidRDefault="00AF3502" w:rsidP="002D26F4">
      <w:pPr>
        <w:rPr>
          <w:sz w:val="20"/>
        </w:rPr>
      </w:pPr>
    </w:p>
    <w:p w:rsidR="00AF3502" w:rsidRPr="003D14A0" w:rsidRDefault="00AF3502" w:rsidP="002D26F4">
      <w:pPr>
        <w:rPr>
          <w:sz w:val="20"/>
        </w:rPr>
      </w:pPr>
      <w:r w:rsidRPr="003D14A0">
        <w:rPr>
          <w:sz w:val="20"/>
        </w:rPr>
        <w:t xml:space="preserve">LEINAT, Fabrício. </w:t>
      </w:r>
      <w:r w:rsidRPr="001A036D">
        <w:rPr>
          <w:b/>
          <w:sz w:val="20"/>
        </w:rPr>
        <w:t xml:space="preserve">Método dos elementos finitos, ou você sabe como funciona ou você será sempre um </w:t>
      </w:r>
      <w:proofErr w:type="spellStart"/>
      <w:r w:rsidRPr="001A036D">
        <w:rPr>
          <w:b/>
          <w:sz w:val="20"/>
        </w:rPr>
        <w:t>n.n.f</w:t>
      </w:r>
      <w:proofErr w:type="spellEnd"/>
      <w:r w:rsidRPr="003D14A0">
        <w:rPr>
          <w:sz w:val="20"/>
        </w:rPr>
        <w:t>. 2017. Disponível em: &lt;https://clubedoprojetista.com.br/metodo-dos-elementos-finitos/&gt;. Acesso em: 30 out. 2019.</w:t>
      </w:r>
    </w:p>
    <w:p w:rsidR="00AF3502" w:rsidRPr="003D14A0" w:rsidRDefault="00AF3502" w:rsidP="002D26F4">
      <w:pPr>
        <w:rPr>
          <w:sz w:val="20"/>
        </w:rPr>
      </w:pPr>
    </w:p>
    <w:p w:rsidR="00AF3502" w:rsidRPr="003D14A0" w:rsidRDefault="00AF3502" w:rsidP="002D26F4">
      <w:pPr>
        <w:rPr>
          <w:sz w:val="20"/>
        </w:rPr>
      </w:pPr>
      <w:r w:rsidRPr="003D14A0">
        <w:rPr>
          <w:sz w:val="20"/>
        </w:rPr>
        <w:t>MF; INSS; ETIP - MINISTÉRIO DA FAZENDA; INSTITUTO NACIONAL DO SEGURO SOCIAL; EMPRESA DE TECNOLOGIA E INFORMAÇÕES DA PREVIDÊNCIA. </w:t>
      </w:r>
      <w:r w:rsidRPr="003D14A0">
        <w:rPr>
          <w:b/>
          <w:bCs/>
          <w:sz w:val="20"/>
        </w:rPr>
        <w:t>Anuário Estatístico de Acidentes do Trabalho:</w:t>
      </w:r>
      <w:r w:rsidRPr="003D14A0">
        <w:rPr>
          <w:b/>
          <w:sz w:val="20"/>
        </w:rPr>
        <w:t> AEAT 2017</w:t>
      </w:r>
      <w:r w:rsidRPr="003D14A0">
        <w:rPr>
          <w:sz w:val="20"/>
        </w:rPr>
        <w:t>. Brasília: MF, 2017. 996 p.</w:t>
      </w:r>
    </w:p>
    <w:p w:rsidR="00AF3502" w:rsidRPr="003D14A0" w:rsidRDefault="00AF3502" w:rsidP="002D26F4">
      <w:pPr>
        <w:rPr>
          <w:sz w:val="20"/>
        </w:rPr>
      </w:pPr>
    </w:p>
    <w:p w:rsidR="00AF3502" w:rsidRPr="003D14A0" w:rsidRDefault="00AF3502" w:rsidP="002D26F4">
      <w:pPr>
        <w:rPr>
          <w:sz w:val="20"/>
        </w:rPr>
      </w:pPr>
      <w:r w:rsidRPr="003D14A0">
        <w:rPr>
          <w:sz w:val="20"/>
        </w:rPr>
        <w:lastRenderedPageBreak/>
        <w:t xml:space="preserve">Ministério do Trabalho - Quedas com diferença de nível são a segunda principal causa de acidentes fatais no trabalho. </w:t>
      </w:r>
      <w:r w:rsidRPr="001A036D">
        <w:rPr>
          <w:b/>
          <w:sz w:val="20"/>
        </w:rPr>
        <w:t>Ministério do Trabalho. Brasília</w:t>
      </w:r>
      <w:r w:rsidRPr="003D14A0">
        <w:rPr>
          <w:sz w:val="20"/>
        </w:rPr>
        <w:t>, 2018. Disponível em: &lt;http://trabalho.gov.br/noticias/5782-quedas-com-diferenca-de-nivel-sao-a-segunda-principal-causa-de-acidentes-fatais-no-trabalho&gt;. Acesso em: 21 set. 2019.</w:t>
      </w:r>
    </w:p>
    <w:p w:rsidR="00AF3502" w:rsidRPr="003D14A0" w:rsidRDefault="00AF3502" w:rsidP="002D26F4">
      <w:pPr>
        <w:rPr>
          <w:sz w:val="20"/>
        </w:rPr>
      </w:pPr>
    </w:p>
    <w:p w:rsidR="00AF3502" w:rsidRPr="003D14A0" w:rsidRDefault="00AF3502" w:rsidP="002D26F4">
      <w:pPr>
        <w:rPr>
          <w:sz w:val="20"/>
        </w:rPr>
      </w:pPr>
      <w:r w:rsidRPr="003D14A0">
        <w:rPr>
          <w:sz w:val="20"/>
        </w:rPr>
        <w:t xml:space="preserve">MT - </w:t>
      </w:r>
      <w:r w:rsidRPr="003D14A0">
        <w:rPr>
          <w:bCs/>
          <w:sz w:val="20"/>
        </w:rPr>
        <w:t xml:space="preserve">SRTE/MG reforça campanha. </w:t>
      </w:r>
      <w:r w:rsidRPr="001A036D">
        <w:rPr>
          <w:b/>
          <w:bCs/>
          <w:sz w:val="20"/>
        </w:rPr>
        <w:t>Ministério do Trabalho. Brasília,</w:t>
      </w:r>
      <w:r w:rsidRPr="003D14A0">
        <w:rPr>
          <w:bCs/>
          <w:sz w:val="20"/>
        </w:rPr>
        <w:t xml:space="preserve"> 2015. Disponível em: &lt;</w:t>
      </w:r>
      <w:r w:rsidRPr="003D14A0">
        <w:rPr>
          <w:sz w:val="20"/>
        </w:rPr>
        <w:t>http://trabalho.gov.br/</w:t>
      </w:r>
      <w:proofErr w:type="spellStart"/>
      <w:r w:rsidRPr="003D14A0">
        <w:rPr>
          <w:sz w:val="20"/>
        </w:rPr>
        <w:t>noticias</w:t>
      </w:r>
      <w:proofErr w:type="spellEnd"/>
      <w:r w:rsidRPr="003D14A0">
        <w:rPr>
          <w:sz w:val="20"/>
        </w:rPr>
        <w:t>/621-srte-mg-reforca-campanha&gt;. Acesso em: 21 set. 2019.</w:t>
      </w:r>
    </w:p>
    <w:p w:rsidR="001D3E2F" w:rsidRPr="003D14A0" w:rsidRDefault="001D3E2F" w:rsidP="002D26F4">
      <w:pPr>
        <w:rPr>
          <w:sz w:val="20"/>
        </w:rPr>
      </w:pPr>
    </w:p>
    <w:p w:rsidR="00AF3502" w:rsidRPr="003D14A0" w:rsidRDefault="00AF3502" w:rsidP="002D26F4">
      <w:pPr>
        <w:rPr>
          <w:sz w:val="20"/>
        </w:rPr>
      </w:pPr>
      <w:r w:rsidRPr="003D14A0">
        <w:rPr>
          <w:sz w:val="20"/>
        </w:rPr>
        <w:t xml:space="preserve">NORTON, R. L. Projeto de Maquina: uma abordagem integrada. Porto Alegre: </w:t>
      </w:r>
      <w:proofErr w:type="spellStart"/>
      <w:r w:rsidRPr="003D14A0">
        <w:rPr>
          <w:b/>
          <w:sz w:val="20"/>
        </w:rPr>
        <w:t>Bookman</w:t>
      </w:r>
      <w:proofErr w:type="spellEnd"/>
      <w:r w:rsidRPr="003D14A0">
        <w:rPr>
          <w:sz w:val="20"/>
        </w:rPr>
        <w:t>, 2007.</w:t>
      </w:r>
    </w:p>
    <w:p w:rsidR="00AF3502" w:rsidRPr="003D14A0" w:rsidRDefault="00AF3502" w:rsidP="002D26F4">
      <w:pPr>
        <w:rPr>
          <w:sz w:val="20"/>
        </w:rPr>
      </w:pPr>
    </w:p>
    <w:p w:rsidR="00AF3502" w:rsidRPr="003D14A0" w:rsidRDefault="00AF3502" w:rsidP="002D26F4">
      <w:pPr>
        <w:rPr>
          <w:sz w:val="20"/>
        </w:rPr>
      </w:pPr>
      <w:r w:rsidRPr="003D14A0">
        <w:rPr>
          <w:sz w:val="20"/>
        </w:rPr>
        <w:t xml:space="preserve">PEREIRA, </w:t>
      </w:r>
      <w:proofErr w:type="spellStart"/>
      <w:r w:rsidRPr="003D14A0">
        <w:rPr>
          <w:sz w:val="20"/>
        </w:rPr>
        <w:t>Clezidan</w:t>
      </w:r>
      <w:proofErr w:type="spellEnd"/>
      <w:r w:rsidRPr="003D14A0">
        <w:rPr>
          <w:sz w:val="20"/>
        </w:rPr>
        <w:t xml:space="preserve"> </w:t>
      </w:r>
      <w:proofErr w:type="spellStart"/>
      <w:r w:rsidRPr="003D14A0">
        <w:rPr>
          <w:sz w:val="20"/>
        </w:rPr>
        <w:t>Núcio</w:t>
      </w:r>
      <w:proofErr w:type="spellEnd"/>
      <w:r w:rsidRPr="003D14A0">
        <w:rPr>
          <w:sz w:val="20"/>
        </w:rPr>
        <w:t xml:space="preserve">. </w:t>
      </w:r>
      <w:r w:rsidRPr="001A036D">
        <w:rPr>
          <w:b/>
          <w:sz w:val="20"/>
        </w:rPr>
        <w:t xml:space="preserve">Análise estrutural estática por elementos finitos de um chassi veicular tipo </w:t>
      </w:r>
      <w:proofErr w:type="spellStart"/>
      <w:r w:rsidRPr="001A036D">
        <w:rPr>
          <w:b/>
          <w:sz w:val="20"/>
        </w:rPr>
        <w:t>spaceframe</w:t>
      </w:r>
      <w:proofErr w:type="spellEnd"/>
      <w:r w:rsidRPr="003D14A0">
        <w:rPr>
          <w:sz w:val="20"/>
        </w:rPr>
        <w:t>. 2016. 96f. Dissertação (Mestrado em Modelagem e Otimização) – Unidade Acadêmica Especial de Matemática e Tecnologia, Universidade Federal de Goiás – Regional Catalão, Catalão – GO. 2016.</w:t>
      </w:r>
    </w:p>
    <w:p w:rsidR="00AF3502" w:rsidRPr="003D14A0" w:rsidRDefault="00AF3502" w:rsidP="002D26F4">
      <w:pPr>
        <w:rPr>
          <w:sz w:val="20"/>
        </w:rPr>
      </w:pPr>
    </w:p>
    <w:p w:rsidR="0031620B" w:rsidRPr="003D14A0" w:rsidRDefault="00AF3502" w:rsidP="002D26F4">
      <w:pPr>
        <w:rPr>
          <w:sz w:val="20"/>
        </w:rPr>
      </w:pPr>
      <w:r w:rsidRPr="003D14A0">
        <w:rPr>
          <w:sz w:val="20"/>
        </w:rPr>
        <w:t>VERGARA, Ricardo Freitas. </w:t>
      </w:r>
      <w:r w:rsidRPr="001A036D">
        <w:rPr>
          <w:b/>
          <w:bCs/>
          <w:sz w:val="20"/>
        </w:rPr>
        <w:t>Análise estrutural de torres anemométrica e de sustentação de turbinas eólicas</w:t>
      </w:r>
      <w:r w:rsidRPr="003D14A0">
        <w:rPr>
          <w:sz w:val="20"/>
        </w:rPr>
        <w:t>. 2005. Dissertação de Mestrado.</w:t>
      </w: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pPr>
    </w:p>
    <w:p w:rsidR="0031620B" w:rsidRPr="003D14A0" w:rsidRDefault="0031620B" w:rsidP="002D26F4">
      <w:pPr>
        <w:rPr>
          <w:sz w:val="20"/>
        </w:rPr>
        <w:sectPr w:rsidR="0031620B" w:rsidRPr="003D14A0" w:rsidSect="00456DD9">
          <w:type w:val="continuous"/>
          <w:pgSz w:w="11906" w:h="16838"/>
          <w:pgMar w:top="1418" w:right="1021" w:bottom="1418" w:left="1021" w:header="720" w:footer="720" w:gutter="0"/>
          <w:cols w:num="2" w:space="340"/>
          <w:docGrid w:linePitch="360"/>
        </w:sectPr>
      </w:pPr>
    </w:p>
    <w:p w:rsidR="0031620B" w:rsidRDefault="0031620B" w:rsidP="002D26F4">
      <w:pPr>
        <w:rPr>
          <w:sz w:val="20"/>
        </w:rPr>
        <w:sectPr w:rsidR="0031620B" w:rsidSect="00456DD9">
          <w:type w:val="continuous"/>
          <w:pgSz w:w="11906" w:h="16838"/>
          <w:pgMar w:top="1418" w:right="1021" w:bottom="1418" w:left="1021" w:header="720" w:footer="720" w:gutter="0"/>
          <w:cols w:num="2" w:space="340"/>
          <w:docGrid w:linePitch="360"/>
        </w:sect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pPr>
    </w:p>
    <w:p w:rsidR="00AA02D1" w:rsidRDefault="00AA02D1" w:rsidP="002D26F4">
      <w:pPr>
        <w:rPr>
          <w:sz w:val="20"/>
        </w:rPr>
        <w:sectPr w:rsidR="00AA02D1" w:rsidSect="00456DD9">
          <w:type w:val="continuous"/>
          <w:pgSz w:w="11906" w:h="16838"/>
          <w:pgMar w:top="1418" w:right="1021" w:bottom="1418" w:left="1021" w:header="720" w:footer="720" w:gutter="0"/>
          <w:cols w:num="2" w:space="340"/>
          <w:docGrid w:linePitch="360"/>
        </w:sectPr>
      </w:pPr>
    </w:p>
    <w:p w:rsidR="00AA02D1" w:rsidRDefault="00AA02D1" w:rsidP="002D26F4">
      <w:pPr>
        <w:rPr>
          <w:sz w:val="20"/>
        </w:rPr>
        <w:sectPr w:rsidR="00AA02D1" w:rsidSect="00456DD9">
          <w:type w:val="continuous"/>
          <w:pgSz w:w="11906" w:h="16838"/>
          <w:pgMar w:top="1418" w:right="1021" w:bottom="1418" w:left="1021" w:header="720" w:footer="720" w:gutter="0"/>
          <w:cols w:num="2" w:space="340"/>
          <w:docGrid w:linePitch="360"/>
        </w:sectPr>
      </w:pPr>
    </w:p>
    <w:p w:rsidR="00AA02D1" w:rsidRDefault="00AA02D1" w:rsidP="002D26F4">
      <w:pPr>
        <w:rPr>
          <w:sz w:val="20"/>
        </w:rPr>
        <w:sectPr w:rsidR="00AA02D1" w:rsidSect="00456DD9">
          <w:type w:val="continuous"/>
          <w:pgSz w:w="11906" w:h="16838"/>
          <w:pgMar w:top="1418" w:right="1021" w:bottom="1418" w:left="1021" w:header="720" w:footer="720" w:gutter="0"/>
          <w:cols w:num="2" w:space="340"/>
          <w:docGrid w:linePitch="360"/>
        </w:sectPr>
      </w:pPr>
    </w:p>
    <w:p w:rsidR="00AF3502" w:rsidRDefault="00AF3502" w:rsidP="002D26F4">
      <w:pPr>
        <w:rPr>
          <w:sz w:val="20"/>
        </w:rPr>
      </w:pPr>
    </w:p>
    <w:p w:rsidR="00AF3502" w:rsidRDefault="00AF3502" w:rsidP="002D26F4">
      <w:pPr>
        <w:jc w:val="both"/>
        <w:rPr>
          <w:sz w:val="20"/>
        </w:rPr>
      </w:pPr>
    </w:p>
    <w:p w:rsidR="00AF3502" w:rsidRDefault="00AF3502" w:rsidP="002D26F4">
      <w:pPr>
        <w:jc w:val="both"/>
        <w:rPr>
          <w:b/>
          <w:sz w:val="20"/>
        </w:rPr>
        <w:sectPr w:rsidR="00AF3502" w:rsidSect="00456DD9">
          <w:type w:val="continuous"/>
          <w:pgSz w:w="11906" w:h="16838"/>
          <w:pgMar w:top="1418" w:right="1021" w:bottom="1418" w:left="1021" w:header="720" w:footer="720" w:gutter="0"/>
          <w:cols w:num="2" w:space="340"/>
          <w:docGrid w:linePitch="360"/>
        </w:sectPr>
      </w:pPr>
    </w:p>
    <w:p w:rsidR="00AF3502" w:rsidRDefault="00AF3502" w:rsidP="002D26F4">
      <w:pPr>
        <w:jc w:val="center"/>
        <w:rPr>
          <w:b/>
          <w:sz w:val="20"/>
        </w:rPr>
      </w:pPr>
    </w:p>
    <w:p w:rsidR="00AA02D1" w:rsidRDefault="00AA02D1">
      <w:pPr>
        <w:rPr>
          <w:b/>
          <w:sz w:val="20"/>
        </w:rPr>
      </w:pPr>
      <w:r>
        <w:rPr>
          <w:b/>
          <w:sz w:val="20"/>
        </w:rPr>
        <w:br w:type="page"/>
      </w:r>
    </w:p>
    <w:p w:rsidR="00AF3502" w:rsidRDefault="00AF3502" w:rsidP="002D26F4">
      <w:pPr>
        <w:jc w:val="center"/>
        <w:rPr>
          <w:b/>
          <w:sz w:val="20"/>
        </w:rPr>
      </w:pPr>
      <w:r>
        <w:rPr>
          <w:b/>
          <w:sz w:val="20"/>
        </w:rPr>
        <w:lastRenderedPageBreak/>
        <w:t>APÊNDICES</w:t>
      </w:r>
    </w:p>
    <w:p w:rsidR="00AF3502" w:rsidRDefault="00AF3502" w:rsidP="002D26F4">
      <w:pPr>
        <w:jc w:val="both"/>
        <w:rPr>
          <w:b/>
          <w:sz w:val="20"/>
        </w:rPr>
      </w:pPr>
    </w:p>
    <w:p w:rsidR="00AF3502" w:rsidRPr="006E72FD" w:rsidRDefault="00AF3502" w:rsidP="002D26F4">
      <w:pPr>
        <w:jc w:val="both"/>
        <w:rPr>
          <w:sz w:val="20"/>
        </w:rPr>
      </w:pPr>
      <w:r w:rsidRPr="006E72FD">
        <w:rPr>
          <w:sz w:val="20"/>
        </w:rPr>
        <w:t>APÊNDICE A – Desenho técnico do suporte de fixação</w:t>
      </w:r>
    </w:p>
    <w:p w:rsidR="00AF3502" w:rsidRDefault="00AF3502" w:rsidP="002D26F4">
      <w:pPr>
        <w:jc w:val="both"/>
        <w:rPr>
          <w:sz w:val="20"/>
        </w:rPr>
      </w:pPr>
    </w:p>
    <w:p w:rsidR="00AF3502" w:rsidRDefault="00370377" w:rsidP="002D26F4">
      <w:pPr>
        <w:jc w:val="center"/>
      </w:pPr>
      <w:r>
        <w:rPr>
          <w:noProof/>
          <w:lang w:eastAsia="pt-BR"/>
        </w:rPr>
        <w:drawing>
          <wp:inline distT="0" distB="0" distL="0" distR="0" wp14:anchorId="3DAF5C02">
            <wp:extent cx="5200650" cy="69723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0650" cy="6972300"/>
                    </a:xfrm>
                    <a:prstGeom prst="rect">
                      <a:avLst/>
                    </a:prstGeom>
                    <a:noFill/>
                    <a:ln>
                      <a:noFill/>
                    </a:ln>
                  </pic:spPr>
                </pic:pic>
              </a:graphicData>
            </a:graphic>
          </wp:inline>
        </w:drawing>
      </w:r>
    </w:p>
    <w:p w:rsidR="00AA02D1" w:rsidRDefault="00AA02D1">
      <w:pPr>
        <w:rPr>
          <w:sz w:val="20"/>
        </w:rPr>
      </w:pPr>
      <w:r>
        <w:rPr>
          <w:sz w:val="20"/>
        </w:rPr>
        <w:br w:type="page"/>
      </w:r>
    </w:p>
    <w:p w:rsidR="00AF3502" w:rsidRDefault="00AF3502" w:rsidP="002D26F4">
      <w:pPr>
        <w:jc w:val="both"/>
        <w:rPr>
          <w:sz w:val="20"/>
        </w:rPr>
      </w:pPr>
      <w:r w:rsidRPr="006E72FD">
        <w:rPr>
          <w:sz w:val="20"/>
        </w:rPr>
        <w:lastRenderedPageBreak/>
        <w:t xml:space="preserve">APÊNDICE B – Representação esquemática típica da linha de vida para coberturas </w:t>
      </w:r>
    </w:p>
    <w:p w:rsidR="00AF3502" w:rsidRDefault="00370377" w:rsidP="00AA02D1">
      <w:pPr>
        <w:jc w:val="center"/>
        <w:sectPr w:rsidR="00AF3502" w:rsidSect="006E72FD">
          <w:type w:val="continuous"/>
          <w:pgSz w:w="11906" w:h="16838"/>
          <w:pgMar w:top="1418" w:right="1021" w:bottom="1418" w:left="1021" w:header="720" w:footer="720" w:gutter="0"/>
          <w:cols w:space="340"/>
          <w:docGrid w:linePitch="360"/>
        </w:sectPr>
      </w:pPr>
      <w:r>
        <w:rPr>
          <w:noProof/>
          <w:lang w:eastAsia="pt-BR"/>
        </w:rPr>
        <w:drawing>
          <wp:inline distT="0" distB="0" distL="0" distR="0" wp14:anchorId="433BF55B">
            <wp:extent cx="5895975" cy="83153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95975" cy="8315325"/>
                    </a:xfrm>
                    <a:prstGeom prst="rect">
                      <a:avLst/>
                    </a:prstGeom>
                    <a:noFill/>
                    <a:ln>
                      <a:noFill/>
                    </a:ln>
                  </pic:spPr>
                </pic:pic>
              </a:graphicData>
            </a:graphic>
          </wp:inline>
        </w:drawing>
      </w:r>
    </w:p>
    <w:p w:rsidR="002820CF" w:rsidRDefault="002820CF" w:rsidP="00AA02D1"/>
    <w:sectPr w:rsidR="002820CF" w:rsidSect="00AF3502">
      <w:pgSz w:w="16838" w:h="11906" w:orient="landscape"/>
      <w:pgMar w:top="1021" w:right="1418" w:bottom="1021" w:left="1418"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0F1" w:rsidRDefault="00B900F1" w:rsidP="006911BB">
      <w:r>
        <w:separator/>
      </w:r>
    </w:p>
  </w:endnote>
  <w:endnote w:type="continuationSeparator" w:id="0">
    <w:p w:rsidR="00B900F1" w:rsidRDefault="00B900F1" w:rsidP="0069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ant"/>
    <w:panose1 w:val="00000400000000000000"/>
    <w:charset w:val="00"/>
    <w:family w:val="roman"/>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CambriaMath">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141003"/>
      <w:docPartObj>
        <w:docPartGallery w:val="Page Numbers (Bottom of Page)"/>
        <w:docPartUnique/>
      </w:docPartObj>
    </w:sdtPr>
    <w:sdtEndPr/>
    <w:sdtContent>
      <w:p w:rsidR="00974B63" w:rsidRDefault="00974B63">
        <w:pPr>
          <w:pStyle w:val="Rodap"/>
          <w:jc w:val="center"/>
        </w:pPr>
        <w:r>
          <w:fldChar w:fldCharType="begin"/>
        </w:r>
        <w:r>
          <w:instrText>PAGE   \* MERGEFORMAT</w:instrText>
        </w:r>
        <w:r>
          <w:fldChar w:fldCharType="separate"/>
        </w:r>
        <w:r w:rsidR="003F08A3">
          <w:rPr>
            <w:noProof/>
          </w:rPr>
          <w:t>26</w:t>
        </w:r>
        <w:r>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974B63" w:rsidRPr="00DE67AB" w:rsidTr="00C27699">
      <w:trPr>
        <w:jc w:val="center"/>
      </w:trPr>
      <w:tc>
        <w:tcPr>
          <w:tcW w:w="1881" w:type="pct"/>
          <w:tcBorders>
            <w:bottom w:val="single" w:sz="2" w:space="0" w:color="auto"/>
          </w:tcBorders>
          <w:shd w:val="clear" w:color="auto" w:fill="auto"/>
          <w:vAlign w:val="bottom"/>
        </w:tcPr>
        <w:p w:rsidR="00974B63" w:rsidRPr="00DE67AB" w:rsidRDefault="00974B63" w:rsidP="00974B63">
          <w:pPr>
            <w:pStyle w:val="Rodap"/>
            <w:jc w:val="center"/>
            <w:rPr>
              <w:i/>
              <w:sz w:val="16"/>
              <w:szCs w:val="16"/>
            </w:rPr>
          </w:pPr>
        </w:p>
      </w:tc>
      <w:tc>
        <w:tcPr>
          <w:tcW w:w="633" w:type="pct"/>
          <w:tcBorders>
            <w:bottom w:val="single" w:sz="2" w:space="0" w:color="auto"/>
          </w:tcBorders>
          <w:shd w:val="clear" w:color="auto" w:fill="auto"/>
          <w:vAlign w:val="bottom"/>
        </w:tcPr>
        <w:p w:rsidR="00974B63" w:rsidRPr="00DE67AB" w:rsidRDefault="00974B63" w:rsidP="00974B63">
          <w:pPr>
            <w:pStyle w:val="Rodap"/>
            <w:jc w:val="center"/>
            <w:rPr>
              <w:sz w:val="16"/>
              <w:szCs w:val="16"/>
            </w:rPr>
          </w:pPr>
        </w:p>
      </w:tc>
      <w:tc>
        <w:tcPr>
          <w:tcW w:w="351" w:type="pct"/>
          <w:tcBorders>
            <w:bottom w:val="single" w:sz="2" w:space="0" w:color="auto"/>
          </w:tcBorders>
          <w:shd w:val="clear" w:color="auto" w:fill="auto"/>
          <w:vAlign w:val="bottom"/>
        </w:tcPr>
        <w:p w:rsidR="00974B63" w:rsidRPr="00DE67AB" w:rsidRDefault="00974B63" w:rsidP="00974B63">
          <w:pPr>
            <w:pStyle w:val="Rodap"/>
            <w:jc w:val="center"/>
            <w:rPr>
              <w:sz w:val="16"/>
              <w:szCs w:val="16"/>
            </w:rPr>
          </w:pPr>
        </w:p>
      </w:tc>
      <w:tc>
        <w:tcPr>
          <w:tcW w:w="281" w:type="pct"/>
          <w:tcBorders>
            <w:bottom w:val="single" w:sz="2" w:space="0" w:color="auto"/>
          </w:tcBorders>
          <w:shd w:val="clear" w:color="auto" w:fill="auto"/>
          <w:vAlign w:val="bottom"/>
        </w:tcPr>
        <w:p w:rsidR="00974B63" w:rsidRPr="00DE67AB" w:rsidRDefault="00974B63" w:rsidP="00974B63">
          <w:pPr>
            <w:pStyle w:val="Rodap"/>
            <w:jc w:val="center"/>
            <w:rPr>
              <w:sz w:val="16"/>
              <w:szCs w:val="16"/>
            </w:rPr>
          </w:pPr>
        </w:p>
      </w:tc>
      <w:tc>
        <w:tcPr>
          <w:tcW w:w="493" w:type="pct"/>
          <w:tcBorders>
            <w:bottom w:val="single" w:sz="2" w:space="0" w:color="auto"/>
          </w:tcBorders>
          <w:shd w:val="clear" w:color="auto" w:fill="auto"/>
          <w:vAlign w:val="bottom"/>
        </w:tcPr>
        <w:p w:rsidR="00974B63" w:rsidRPr="00DE67AB" w:rsidRDefault="00974B63" w:rsidP="00974B63">
          <w:pPr>
            <w:pStyle w:val="Rodap"/>
            <w:jc w:val="center"/>
            <w:rPr>
              <w:sz w:val="16"/>
              <w:szCs w:val="16"/>
            </w:rPr>
          </w:pPr>
        </w:p>
      </w:tc>
      <w:tc>
        <w:tcPr>
          <w:tcW w:w="562" w:type="pct"/>
          <w:tcBorders>
            <w:bottom w:val="single" w:sz="2" w:space="0" w:color="auto"/>
          </w:tcBorders>
          <w:shd w:val="clear" w:color="auto" w:fill="auto"/>
          <w:vAlign w:val="bottom"/>
        </w:tcPr>
        <w:p w:rsidR="00974B63" w:rsidRPr="00DE67AB" w:rsidRDefault="00974B63" w:rsidP="00974B63">
          <w:pPr>
            <w:pStyle w:val="Rodap"/>
            <w:jc w:val="center"/>
            <w:rPr>
              <w:sz w:val="16"/>
              <w:szCs w:val="16"/>
            </w:rPr>
          </w:pPr>
        </w:p>
      </w:tc>
      <w:tc>
        <w:tcPr>
          <w:tcW w:w="798" w:type="pct"/>
          <w:tcBorders>
            <w:bottom w:val="single" w:sz="2" w:space="0" w:color="auto"/>
          </w:tcBorders>
          <w:shd w:val="clear" w:color="auto" w:fill="auto"/>
          <w:vAlign w:val="bottom"/>
        </w:tcPr>
        <w:p w:rsidR="00974B63" w:rsidRPr="00DE67AB" w:rsidRDefault="00974B63" w:rsidP="00974B63">
          <w:pPr>
            <w:pStyle w:val="Rodap"/>
            <w:jc w:val="center"/>
            <w:rPr>
              <w:sz w:val="16"/>
              <w:szCs w:val="16"/>
            </w:rPr>
          </w:pPr>
        </w:p>
      </w:tc>
    </w:tr>
    <w:tr w:rsidR="00974B63" w:rsidRPr="002D26D4" w:rsidTr="00C27699">
      <w:tblPrEx>
        <w:jc w:val="left"/>
      </w:tblPrEx>
      <w:tc>
        <w:tcPr>
          <w:tcW w:w="1881" w:type="pct"/>
          <w:tcBorders>
            <w:top w:val="single" w:sz="2" w:space="0" w:color="auto"/>
            <w:bottom w:val="single" w:sz="2" w:space="0" w:color="auto"/>
            <w:right w:val="single" w:sz="2" w:space="0" w:color="auto"/>
          </w:tcBorders>
          <w:shd w:val="clear" w:color="auto" w:fill="auto"/>
        </w:tcPr>
        <w:p w:rsidR="00974B63" w:rsidRPr="00DE67AB" w:rsidRDefault="00974B63" w:rsidP="00974B63">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rsidR="00974B63" w:rsidRPr="00DE67AB" w:rsidRDefault="00974B63" w:rsidP="00974B63">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rsidR="00974B63" w:rsidRPr="00DE67AB" w:rsidRDefault="00974B63" w:rsidP="00974B63">
          <w:pPr>
            <w:pStyle w:val="Rodap"/>
            <w:jc w:val="center"/>
            <w:rPr>
              <w:sz w:val="16"/>
              <w:szCs w:val="16"/>
            </w:rPr>
          </w:pPr>
          <w:r>
            <w:rPr>
              <w:sz w:val="16"/>
              <w:szCs w:val="16"/>
            </w:rPr>
            <w:t>v. 4</w:t>
          </w:r>
        </w:p>
      </w:tc>
      <w:tc>
        <w:tcPr>
          <w:tcW w:w="281" w:type="pct"/>
          <w:tcBorders>
            <w:top w:val="single" w:sz="2" w:space="0" w:color="auto"/>
            <w:left w:val="single" w:sz="2" w:space="0" w:color="auto"/>
            <w:bottom w:val="single" w:sz="2" w:space="0" w:color="auto"/>
            <w:right w:val="single" w:sz="2" w:space="0" w:color="auto"/>
          </w:tcBorders>
          <w:shd w:val="clear" w:color="auto" w:fill="auto"/>
        </w:tcPr>
        <w:p w:rsidR="00974B63" w:rsidRPr="002D26D4" w:rsidRDefault="00974B63" w:rsidP="00974B63">
          <w:pPr>
            <w:pStyle w:val="Rodap"/>
            <w:jc w:val="center"/>
            <w:rPr>
              <w:sz w:val="16"/>
              <w:szCs w:val="16"/>
              <w:lang w:val="en-US"/>
            </w:rPr>
          </w:pPr>
          <w:r w:rsidRPr="002D26D4">
            <w:rPr>
              <w:sz w:val="16"/>
              <w:szCs w:val="16"/>
              <w:lang w:val="en-US"/>
            </w:rPr>
            <w:t>n. 2</w:t>
          </w:r>
        </w:p>
      </w:tc>
      <w:tc>
        <w:tcPr>
          <w:tcW w:w="493" w:type="pct"/>
          <w:tcBorders>
            <w:top w:val="single" w:sz="2" w:space="0" w:color="auto"/>
            <w:left w:val="single" w:sz="2" w:space="0" w:color="auto"/>
            <w:bottom w:val="single" w:sz="2" w:space="0" w:color="auto"/>
            <w:right w:val="single" w:sz="2" w:space="0" w:color="auto"/>
          </w:tcBorders>
          <w:shd w:val="clear" w:color="auto" w:fill="auto"/>
        </w:tcPr>
        <w:p w:rsidR="00974B63" w:rsidRPr="002D26D4" w:rsidRDefault="0031620B" w:rsidP="00974B63">
          <w:pPr>
            <w:pStyle w:val="Rodap"/>
            <w:jc w:val="center"/>
            <w:rPr>
              <w:sz w:val="16"/>
              <w:szCs w:val="16"/>
              <w:lang w:val="en-US"/>
            </w:rPr>
          </w:pPr>
          <w:r>
            <w:rPr>
              <w:sz w:val="16"/>
              <w:szCs w:val="16"/>
              <w:lang w:val="en-US"/>
            </w:rPr>
            <w:t>p.16</w:t>
          </w:r>
          <w:r w:rsidR="00974B63">
            <w:rPr>
              <w:sz w:val="16"/>
              <w:szCs w:val="16"/>
              <w:lang w:val="en-US"/>
            </w:rPr>
            <w:t>-</w:t>
          </w:r>
          <w:r w:rsidR="00AA02D1">
            <w:rPr>
              <w:sz w:val="16"/>
              <w:szCs w:val="16"/>
              <w:lang w:val="en-US"/>
            </w:rPr>
            <w:t>2</w:t>
          </w:r>
          <w:r>
            <w:rPr>
              <w:sz w:val="16"/>
              <w:szCs w:val="16"/>
              <w:lang w:val="en-US"/>
            </w:rPr>
            <w:t>5</w:t>
          </w:r>
        </w:p>
      </w:tc>
      <w:tc>
        <w:tcPr>
          <w:tcW w:w="562" w:type="pct"/>
          <w:tcBorders>
            <w:top w:val="single" w:sz="2" w:space="0" w:color="auto"/>
            <w:left w:val="single" w:sz="2" w:space="0" w:color="auto"/>
            <w:bottom w:val="single" w:sz="2" w:space="0" w:color="auto"/>
            <w:right w:val="single" w:sz="2" w:space="0" w:color="auto"/>
          </w:tcBorders>
          <w:shd w:val="clear" w:color="auto" w:fill="auto"/>
        </w:tcPr>
        <w:p w:rsidR="00974B63" w:rsidRPr="002D26D4" w:rsidRDefault="00974B63" w:rsidP="00974B63">
          <w:pPr>
            <w:pStyle w:val="Rodap"/>
            <w:jc w:val="center"/>
            <w:rPr>
              <w:sz w:val="16"/>
              <w:szCs w:val="16"/>
              <w:lang w:val="en-US"/>
            </w:rPr>
          </w:pPr>
          <w:proofErr w:type="spellStart"/>
          <w:proofErr w:type="gramStart"/>
          <w:r>
            <w:rPr>
              <w:sz w:val="16"/>
              <w:szCs w:val="16"/>
              <w:lang w:val="en-US"/>
            </w:rPr>
            <w:t>jul</w:t>
          </w:r>
          <w:r w:rsidRPr="002D26D4">
            <w:rPr>
              <w:sz w:val="16"/>
              <w:szCs w:val="16"/>
              <w:lang w:val="en-US"/>
            </w:rPr>
            <w:t>.</w:t>
          </w:r>
          <w:proofErr w:type="spellEnd"/>
          <w:r w:rsidRPr="002D26D4">
            <w:rPr>
              <w:sz w:val="16"/>
              <w:szCs w:val="16"/>
              <w:lang w:val="en-US"/>
            </w:rPr>
            <w:t>/</w:t>
          </w:r>
          <w:proofErr w:type="spellStart"/>
          <w:proofErr w:type="gramEnd"/>
          <w:r>
            <w:rPr>
              <w:sz w:val="16"/>
              <w:szCs w:val="16"/>
              <w:lang w:val="en-US"/>
            </w:rPr>
            <w:t>dez</w:t>
          </w:r>
          <w:proofErr w:type="spellEnd"/>
          <w:r w:rsidRPr="002D26D4">
            <w:rPr>
              <w:sz w:val="16"/>
              <w:szCs w:val="16"/>
              <w:lang w:val="en-US"/>
            </w:rPr>
            <w:t>. 2019</w:t>
          </w:r>
        </w:p>
      </w:tc>
      <w:tc>
        <w:tcPr>
          <w:tcW w:w="798" w:type="pct"/>
          <w:tcBorders>
            <w:top w:val="single" w:sz="2" w:space="0" w:color="auto"/>
            <w:left w:val="single" w:sz="2" w:space="0" w:color="auto"/>
            <w:bottom w:val="single" w:sz="2" w:space="0" w:color="auto"/>
          </w:tcBorders>
          <w:shd w:val="clear" w:color="auto" w:fill="auto"/>
        </w:tcPr>
        <w:p w:rsidR="00974B63" w:rsidRPr="002D26D4" w:rsidRDefault="00974B63" w:rsidP="00974B63">
          <w:pPr>
            <w:pStyle w:val="Rodap"/>
            <w:jc w:val="center"/>
            <w:rPr>
              <w:sz w:val="16"/>
              <w:szCs w:val="16"/>
              <w:lang w:val="en-US"/>
            </w:rPr>
          </w:pPr>
          <w:r w:rsidRPr="002D26D4">
            <w:rPr>
              <w:sz w:val="16"/>
              <w:szCs w:val="16"/>
              <w:lang w:val="en-US"/>
            </w:rPr>
            <w:t>ISSN 2526-060X</w:t>
          </w:r>
        </w:p>
      </w:tc>
    </w:tr>
  </w:tbl>
  <w:p w:rsidR="00AF3502" w:rsidRDefault="00AF350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0F1" w:rsidRDefault="00B900F1" w:rsidP="006911BB">
      <w:r>
        <w:separator/>
      </w:r>
    </w:p>
  </w:footnote>
  <w:footnote w:type="continuationSeparator" w:id="0">
    <w:p w:rsidR="00B900F1" w:rsidRDefault="00B900F1" w:rsidP="00691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63" w:rsidRDefault="00974B63" w:rsidP="00974B63">
    <w:pPr>
      <w:pStyle w:val="Cabealho"/>
      <w:jc w:val="right"/>
    </w:pPr>
    <w:r w:rsidRPr="00D57E02">
      <w:rPr>
        <w:noProof/>
        <w:sz w:val="20"/>
        <w:szCs w:val="20"/>
        <w:lang w:eastAsia="pt-BR"/>
      </w:rPr>
      <w:drawing>
        <wp:inline distT="0" distB="0" distL="0" distR="0" wp14:anchorId="58708289" wp14:editId="6F4CA02D">
          <wp:extent cx="1685925" cy="469265"/>
          <wp:effectExtent l="0" t="0" r="9525" b="698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rsidR="00974B63" w:rsidRDefault="00974B63" w:rsidP="00974B63">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682B7D"/>
    <w:multiLevelType w:val="hybridMultilevel"/>
    <w:tmpl w:val="1FB6DF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BF1948"/>
    <w:multiLevelType w:val="hybridMultilevel"/>
    <w:tmpl w:val="5BFC70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C10C14"/>
    <w:multiLevelType w:val="hybridMultilevel"/>
    <w:tmpl w:val="FD1241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317CB9"/>
    <w:multiLevelType w:val="hybridMultilevel"/>
    <w:tmpl w:val="0BD89D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042DDA"/>
    <w:multiLevelType w:val="hybridMultilevel"/>
    <w:tmpl w:val="D720914E"/>
    <w:lvl w:ilvl="0" w:tplc="F206610E">
      <w:start w:val="1"/>
      <w:numFmt w:val="upp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BE37953"/>
    <w:multiLevelType w:val="hybridMultilevel"/>
    <w:tmpl w:val="6DEEDED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7" w15:restartNumberingAfterBreak="0">
    <w:nsid w:val="25EC0597"/>
    <w:multiLevelType w:val="hybridMultilevel"/>
    <w:tmpl w:val="74A2D0F4"/>
    <w:lvl w:ilvl="0" w:tplc="99164950">
      <w:start w:val="1"/>
      <w:numFmt w:val="decimal"/>
      <w:lvlText w:val="%1"/>
      <w:lvlJc w:val="left"/>
      <w:pPr>
        <w:tabs>
          <w:tab w:val="num" w:pos="851"/>
        </w:tabs>
        <w:ind w:left="851" w:hanging="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012A2D"/>
    <w:multiLevelType w:val="hybridMultilevel"/>
    <w:tmpl w:val="9E0CA5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900FB4"/>
    <w:multiLevelType w:val="hybridMultilevel"/>
    <w:tmpl w:val="3C7007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AD75BA8"/>
    <w:multiLevelType w:val="hybridMultilevel"/>
    <w:tmpl w:val="4440C652"/>
    <w:lvl w:ilvl="0" w:tplc="CC72AC7C">
      <w:start w:val="1"/>
      <w:numFmt w:val="bullet"/>
      <w:lvlText w:val=""/>
      <w:lvlJc w:val="left"/>
      <w:pPr>
        <w:ind w:left="720" w:hanging="360"/>
      </w:pPr>
      <w:rPr>
        <w:rFonts w:ascii="Symbol" w:hAnsi="Symbol"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E597EB7"/>
    <w:multiLevelType w:val="hybridMultilevel"/>
    <w:tmpl w:val="6B68106A"/>
    <w:lvl w:ilvl="0" w:tplc="AC48B27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2" w15:restartNumberingAfterBreak="0">
    <w:nsid w:val="671147AC"/>
    <w:multiLevelType w:val="hybridMultilevel"/>
    <w:tmpl w:val="918E9606"/>
    <w:lvl w:ilvl="0" w:tplc="36E079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DDF4EDC"/>
    <w:multiLevelType w:val="hybridMultilevel"/>
    <w:tmpl w:val="01800B10"/>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14" w15:restartNumberingAfterBreak="0">
    <w:nsid w:val="77565EBD"/>
    <w:multiLevelType w:val="hybridMultilevel"/>
    <w:tmpl w:val="DFB850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3"/>
  </w:num>
  <w:num w:numId="5">
    <w:abstractNumId w:val="14"/>
  </w:num>
  <w:num w:numId="6">
    <w:abstractNumId w:val="10"/>
  </w:num>
  <w:num w:numId="7">
    <w:abstractNumId w:val="1"/>
  </w:num>
  <w:num w:numId="8">
    <w:abstractNumId w:val="13"/>
  </w:num>
  <w:num w:numId="9">
    <w:abstractNumId w:val="6"/>
  </w:num>
  <w:num w:numId="10">
    <w:abstractNumId w:val="5"/>
  </w:num>
  <w:num w:numId="11">
    <w:abstractNumId w:val="7"/>
  </w:num>
  <w:num w:numId="12">
    <w:abstractNumId w:val="12"/>
  </w:num>
  <w:num w:numId="13">
    <w:abstractNumId w:val="11"/>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FA"/>
    <w:rsid w:val="00014BEE"/>
    <w:rsid w:val="0002285B"/>
    <w:rsid w:val="0003515A"/>
    <w:rsid w:val="000536CB"/>
    <w:rsid w:val="00072861"/>
    <w:rsid w:val="00087231"/>
    <w:rsid w:val="00092755"/>
    <w:rsid w:val="000A001F"/>
    <w:rsid w:val="000B69A6"/>
    <w:rsid w:val="000E79BE"/>
    <w:rsid w:val="00107285"/>
    <w:rsid w:val="00113FDA"/>
    <w:rsid w:val="00122D7D"/>
    <w:rsid w:val="00127B86"/>
    <w:rsid w:val="001456A0"/>
    <w:rsid w:val="00161A5C"/>
    <w:rsid w:val="00175436"/>
    <w:rsid w:val="00180057"/>
    <w:rsid w:val="00186682"/>
    <w:rsid w:val="001877B5"/>
    <w:rsid w:val="001A036D"/>
    <w:rsid w:val="001C037C"/>
    <w:rsid w:val="001C0AA1"/>
    <w:rsid w:val="001D3E2F"/>
    <w:rsid w:val="001F2DDF"/>
    <w:rsid w:val="002003FF"/>
    <w:rsid w:val="00200C01"/>
    <w:rsid w:val="00243CFC"/>
    <w:rsid w:val="00246A42"/>
    <w:rsid w:val="00265F07"/>
    <w:rsid w:val="00266DF8"/>
    <w:rsid w:val="00275282"/>
    <w:rsid w:val="002820CF"/>
    <w:rsid w:val="00294B76"/>
    <w:rsid w:val="002C2A28"/>
    <w:rsid w:val="002C630C"/>
    <w:rsid w:val="002D55F5"/>
    <w:rsid w:val="002F5713"/>
    <w:rsid w:val="0031620B"/>
    <w:rsid w:val="00332734"/>
    <w:rsid w:val="00340327"/>
    <w:rsid w:val="0034053E"/>
    <w:rsid w:val="00354F29"/>
    <w:rsid w:val="003613F1"/>
    <w:rsid w:val="00370377"/>
    <w:rsid w:val="003729B7"/>
    <w:rsid w:val="00376DB9"/>
    <w:rsid w:val="0038107B"/>
    <w:rsid w:val="003B3C5E"/>
    <w:rsid w:val="003B70BE"/>
    <w:rsid w:val="003D14A0"/>
    <w:rsid w:val="003D64E1"/>
    <w:rsid w:val="003D7F64"/>
    <w:rsid w:val="003E0AC5"/>
    <w:rsid w:val="003F08A3"/>
    <w:rsid w:val="004104C4"/>
    <w:rsid w:val="00415926"/>
    <w:rsid w:val="004322CF"/>
    <w:rsid w:val="00444CFF"/>
    <w:rsid w:val="00456DD9"/>
    <w:rsid w:val="004669FE"/>
    <w:rsid w:val="00471BF3"/>
    <w:rsid w:val="004835DF"/>
    <w:rsid w:val="0048613D"/>
    <w:rsid w:val="00490083"/>
    <w:rsid w:val="004A3C09"/>
    <w:rsid w:val="004C233E"/>
    <w:rsid w:val="00505206"/>
    <w:rsid w:val="0051734D"/>
    <w:rsid w:val="00542377"/>
    <w:rsid w:val="00543688"/>
    <w:rsid w:val="0056379F"/>
    <w:rsid w:val="00573482"/>
    <w:rsid w:val="00574C3B"/>
    <w:rsid w:val="00577656"/>
    <w:rsid w:val="005836E0"/>
    <w:rsid w:val="00596B0A"/>
    <w:rsid w:val="00597066"/>
    <w:rsid w:val="005B1541"/>
    <w:rsid w:val="005C5485"/>
    <w:rsid w:val="005D4F9A"/>
    <w:rsid w:val="00646B5B"/>
    <w:rsid w:val="006626AF"/>
    <w:rsid w:val="00676E33"/>
    <w:rsid w:val="006911BB"/>
    <w:rsid w:val="00695730"/>
    <w:rsid w:val="006A6A01"/>
    <w:rsid w:val="006B2224"/>
    <w:rsid w:val="006C3DC7"/>
    <w:rsid w:val="006E3F7B"/>
    <w:rsid w:val="006E72FD"/>
    <w:rsid w:val="007060AD"/>
    <w:rsid w:val="00724124"/>
    <w:rsid w:val="00725636"/>
    <w:rsid w:val="00737699"/>
    <w:rsid w:val="007461D6"/>
    <w:rsid w:val="007536C2"/>
    <w:rsid w:val="00760878"/>
    <w:rsid w:val="007649FC"/>
    <w:rsid w:val="007824E3"/>
    <w:rsid w:val="007C0799"/>
    <w:rsid w:val="007C2EBE"/>
    <w:rsid w:val="007D6C9C"/>
    <w:rsid w:val="007E74FE"/>
    <w:rsid w:val="007F67AC"/>
    <w:rsid w:val="00814C1B"/>
    <w:rsid w:val="00821BB6"/>
    <w:rsid w:val="00827C89"/>
    <w:rsid w:val="00837EE4"/>
    <w:rsid w:val="00841624"/>
    <w:rsid w:val="008422A7"/>
    <w:rsid w:val="00847B96"/>
    <w:rsid w:val="0085189F"/>
    <w:rsid w:val="0086411E"/>
    <w:rsid w:val="0089317F"/>
    <w:rsid w:val="008A2016"/>
    <w:rsid w:val="008D2107"/>
    <w:rsid w:val="008E0D46"/>
    <w:rsid w:val="00926D78"/>
    <w:rsid w:val="00943B21"/>
    <w:rsid w:val="00954D4F"/>
    <w:rsid w:val="0096144F"/>
    <w:rsid w:val="00963211"/>
    <w:rsid w:val="00965F17"/>
    <w:rsid w:val="00974B63"/>
    <w:rsid w:val="00987902"/>
    <w:rsid w:val="00991B85"/>
    <w:rsid w:val="009B1016"/>
    <w:rsid w:val="009B2B4F"/>
    <w:rsid w:val="009B659A"/>
    <w:rsid w:val="009C18CE"/>
    <w:rsid w:val="009D55FA"/>
    <w:rsid w:val="009E1520"/>
    <w:rsid w:val="009F0E2D"/>
    <w:rsid w:val="00A21CC4"/>
    <w:rsid w:val="00A31D0D"/>
    <w:rsid w:val="00A46C80"/>
    <w:rsid w:val="00A46D5F"/>
    <w:rsid w:val="00A978D5"/>
    <w:rsid w:val="00AA02D1"/>
    <w:rsid w:val="00AA7D88"/>
    <w:rsid w:val="00AD3C06"/>
    <w:rsid w:val="00AD6C23"/>
    <w:rsid w:val="00AF3502"/>
    <w:rsid w:val="00AF3C00"/>
    <w:rsid w:val="00B047ED"/>
    <w:rsid w:val="00B10000"/>
    <w:rsid w:val="00B15402"/>
    <w:rsid w:val="00B35AD1"/>
    <w:rsid w:val="00B37E8C"/>
    <w:rsid w:val="00B54535"/>
    <w:rsid w:val="00B620AA"/>
    <w:rsid w:val="00B70E80"/>
    <w:rsid w:val="00B8577C"/>
    <w:rsid w:val="00B900F1"/>
    <w:rsid w:val="00BB1B8B"/>
    <w:rsid w:val="00BC3023"/>
    <w:rsid w:val="00BC7ADA"/>
    <w:rsid w:val="00BE0658"/>
    <w:rsid w:val="00C06C7F"/>
    <w:rsid w:val="00C62C47"/>
    <w:rsid w:val="00C95BFC"/>
    <w:rsid w:val="00CB55DA"/>
    <w:rsid w:val="00CE154D"/>
    <w:rsid w:val="00CF0E44"/>
    <w:rsid w:val="00CF4C88"/>
    <w:rsid w:val="00D36BA0"/>
    <w:rsid w:val="00D60939"/>
    <w:rsid w:val="00D61959"/>
    <w:rsid w:val="00DB038E"/>
    <w:rsid w:val="00DB0787"/>
    <w:rsid w:val="00DB4DB1"/>
    <w:rsid w:val="00DF3B11"/>
    <w:rsid w:val="00E07AC1"/>
    <w:rsid w:val="00E110F5"/>
    <w:rsid w:val="00E231E1"/>
    <w:rsid w:val="00E35109"/>
    <w:rsid w:val="00E713AC"/>
    <w:rsid w:val="00E810F9"/>
    <w:rsid w:val="00E84914"/>
    <w:rsid w:val="00E900FE"/>
    <w:rsid w:val="00EA2B37"/>
    <w:rsid w:val="00EB2C8C"/>
    <w:rsid w:val="00ED4056"/>
    <w:rsid w:val="00EE158B"/>
    <w:rsid w:val="00F034A7"/>
    <w:rsid w:val="00F133C6"/>
    <w:rsid w:val="00F13936"/>
    <w:rsid w:val="00F16B3E"/>
    <w:rsid w:val="00F22F7E"/>
    <w:rsid w:val="00F53D78"/>
    <w:rsid w:val="00F54344"/>
    <w:rsid w:val="00F5732E"/>
    <w:rsid w:val="00F64A29"/>
    <w:rsid w:val="00FB73A9"/>
    <w:rsid w:val="00FC4CFD"/>
    <w:rsid w:val="00FE7E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ACD7A"/>
  <w15:chartTrackingRefBased/>
  <w15:docId w15:val="{0D20CCE9-4DFF-489C-9856-25655CFA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29"/>
    <w:rPr>
      <w:rFonts w:eastAsia="SimSun"/>
      <w:sz w:val="24"/>
      <w:szCs w:val="24"/>
      <w:lang w:eastAsia="zh-CN"/>
    </w:rPr>
  </w:style>
  <w:style w:type="paragraph" w:styleId="Ttulo1">
    <w:name w:val="heading 1"/>
    <w:basedOn w:val="Normal"/>
    <w:next w:val="Normal"/>
    <w:link w:val="Ttulo1Char"/>
    <w:qFormat/>
    <w:rsid w:val="00821BB6"/>
    <w:pPr>
      <w:keepNext/>
      <w:keepLines/>
      <w:spacing w:before="480"/>
      <w:jc w:val="both"/>
      <w:outlineLvl w:val="0"/>
    </w:pPr>
    <w:rPr>
      <w:rFonts w:ascii="Cambria" w:eastAsia="Times New Roman" w:hAnsi="Cambria"/>
      <w:b/>
      <w:bCs/>
      <w:color w:val="365F91"/>
      <w:sz w:val="28"/>
      <w:szCs w:val="28"/>
      <w:lang w:eastAsia="en-US"/>
    </w:rPr>
  </w:style>
  <w:style w:type="paragraph" w:styleId="Ttulo2">
    <w:name w:val="heading 2"/>
    <w:basedOn w:val="Normal"/>
    <w:next w:val="Normal"/>
    <w:link w:val="Ttulo2Char"/>
    <w:unhideWhenUsed/>
    <w:qFormat/>
    <w:rsid w:val="00827C89"/>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semiHidden/>
    <w:unhideWhenUsed/>
    <w:qFormat/>
    <w:rsid w:val="00AF3C00"/>
    <w:pPr>
      <w:keepNext/>
      <w:spacing w:before="240" w:after="60"/>
      <w:outlineLvl w:val="2"/>
    </w:pPr>
    <w:rPr>
      <w:rFonts w:ascii="Calibri Light" w:eastAsia="Times New Roman" w:hAnsi="Calibri Light"/>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1BB6"/>
    <w:rPr>
      <w:rFonts w:ascii="Cambria" w:hAnsi="Cambria"/>
      <w:b/>
      <w:bCs/>
      <w:color w:val="365F91"/>
      <w:sz w:val="28"/>
      <w:szCs w:val="28"/>
      <w:lang w:eastAsia="en-US"/>
    </w:rPr>
  </w:style>
  <w:style w:type="character" w:customStyle="1" w:styleId="Ttulo2Char">
    <w:name w:val="Título 2 Char"/>
    <w:link w:val="Ttulo2"/>
    <w:rsid w:val="00827C89"/>
    <w:rPr>
      <w:rFonts w:ascii="Calibri Light" w:eastAsia="Times New Roman" w:hAnsi="Calibri Light" w:cs="Times New Roman"/>
      <w:b/>
      <w:bCs/>
      <w:i/>
      <w:iCs/>
      <w:sz w:val="28"/>
      <w:szCs w:val="28"/>
      <w:lang w:eastAsia="zh-CN"/>
    </w:rPr>
  </w:style>
  <w:style w:type="paragraph" w:styleId="Cabealho">
    <w:name w:val="header"/>
    <w:basedOn w:val="Normal"/>
    <w:link w:val="CabealhoChar"/>
    <w:rsid w:val="006911BB"/>
    <w:pPr>
      <w:tabs>
        <w:tab w:val="center" w:pos="4252"/>
        <w:tab w:val="right" w:pos="8504"/>
      </w:tabs>
    </w:pPr>
  </w:style>
  <w:style w:type="character" w:customStyle="1" w:styleId="CabealhoChar">
    <w:name w:val="Cabeçalho Char"/>
    <w:link w:val="Cabealho"/>
    <w:qFormat/>
    <w:rsid w:val="006911BB"/>
    <w:rPr>
      <w:rFonts w:eastAsia="SimSun"/>
      <w:sz w:val="24"/>
      <w:szCs w:val="24"/>
      <w:lang w:eastAsia="zh-CN"/>
    </w:rPr>
  </w:style>
  <w:style w:type="paragraph" w:styleId="Rodap">
    <w:name w:val="footer"/>
    <w:basedOn w:val="Normal"/>
    <w:link w:val="RodapChar"/>
    <w:uiPriority w:val="99"/>
    <w:rsid w:val="006911BB"/>
    <w:pPr>
      <w:tabs>
        <w:tab w:val="center" w:pos="4252"/>
        <w:tab w:val="right" w:pos="8504"/>
      </w:tabs>
    </w:pPr>
  </w:style>
  <w:style w:type="character" w:customStyle="1" w:styleId="RodapChar">
    <w:name w:val="Rodapé Char"/>
    <w:link w:val="Rodap"/>
    <w:uiPriority w:val="99"/>
    <w:qFormat/>
    <w:rsid w:val="006911BB"/>
    <w:rPr>
      <w:rFonts w:eastAsia="SimSun"/>
      <w:sz w:val="24"/>
      <w:szCs w:val="24"/>
      <w:lang w:eastAsia="zh-CN"/>
    </w:rPr>
  </w:style>
  <w:style w:type="character" w:styleId="Hyperlink">
    <w:name w:val="Hyperlink"/>
    <w:uiPriority w:val="99"/>
    <w:rsid w:val="006911BB"/>
    <w:rPr>
      <w:color w:val="0000FF"/>
      <w:u w:val="single"/>
    </w:rPr>
  </w:style>
  <w:style w:type="paragraph" w:styleId="Corpodetexto">
    <w:name w:val="Body Text"/>
    <w:basedOn w:val="Normal"/>
    <w:link w:val="CorpodetextoChar"/>
    <w:rsid w:val="006911BB"/>
    <w:pPr>
      <w:spacing w:line="480" w:lineRule="auto"/>
      <w:jc w:val="both"/>
    </w:pPr>
    <w:rPr>
      <w:rFonts w:eastAsia="Times New Roman"/>
      <w:szCs w:val="20"/>
      <w:lang w:eastAsia="pt-BR"/>
    </w:rPr>
  </w:style>
  <w:style w:type="character" w:customStyle="1" w:styleId="CorpodetextoChar">
    <w:name w:val="Corpo de texto Char"/>
    <w:link w:val="Corpodetexto"/>
    <w:rsid w:val="006911BB"/>
    <w:rPr>
      <w:sz w:val="24"/>
    </w:rPr>
  </w:style>
  <w:style w:type="paragraph" w:styleId="NormalWeb">
    <w:name w:val="Normal (Web)"/>
    <w:basedOn w:val="Normal"/>
    <w:qFormat/>
    <w:rsid w:val="006911BB"/>
    <w:pPr>
      <w:spacing w:before="100" w:beforeAutospacing="1" w:after="100" w:afterAutospacing="1"/>
    </w:pPr>
    <w:rPr>
      <w:rFonts w:ascii="Verdana" w:eastAsia="Times New Roman" w:hAnsi="Verdana"/>
      <w:sz w:val="20"/>
      <w:szCs w:val="20"/>
      <w:lang w:eastAsia="pt-BR"/>
    </w:rPr>
  </w:style>
  <w:style w:type="character" w:styleId="Refdecomentrio">
    <w:name w:val="annotation reference"/>
    <w:unhideWhenUsed/>
    <w:rsid w:val="00C06C7F"/>
    <w:rPr>
      <w:sz w:val="16"/>
      <w:szCs w:val="16"/>
    </w:rPr>
  </w:style>
  <w:style w:type="paragraph" w:styleId="Pr-formataoHTML">
    <w:name w:val="HTML Preformatted"/>
    <w:basedOn w:val="Normal"/>
    <w:link w:val="Pr-formataoHTMLChar"/>
    <w:uiPriority w:val="99"/>
    <w:unhideWhenUsed/>
    <w:rsid w:val="00C0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C06C7F"/>
    <w:rPr>
      <w:rFonts w:ascii="Courier New" w:hAnsi="Courier New" w:cs="Courier New"/>
    </w:rPr>
  </w:style>
  <w:style w:type="paragraph" w:styleId="PargrafodaLista">
    <w:name w:val="List Paragraph"/>
    <w:basedOn w:val="Normal"/>
    <w:uiPriority w:val="34"/>
    <w:qFormat/>
    <w:rsid w:val="00C06C7F"/>
    <w:pPr>
      <w:ind w:left="720"/>
      <w:contextualSpacing/>
    </w:pPr>
    <w:rPr>
      <w:rFonts w:eastAsia="Times New Roman"/>
      <w:lang w:eastAsia="pt-BR"/>
    </w:rPr>
  </w:style>
  <w:style w:type="table" w:styleId="Tabelacomgrade">
    <w:name w:val="Table Grid"/>
    <w:basedOn w:val="Tabelanormal"/>
    <w:rsid w:val="00C06C7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6AF"/>
    <w:pPr>
      <w:autoSpaceDE w:val="0"/>
      <w:autoSpaceDN w:val="0"/>
      <w:adjustRightInd w:val="0"/>
    </w:pPr>
    <w:rPr>
      <w:color w:val="000000"/>
      <w:sz w:val="24"/>
      <w:szCs w:val="24"/>
    </w:rPr>
  </w:style>
  <w:style w:type="paragraph" w:styleId="Corpodetexto3">
    <w:name w:val="Body Text 3"/>
    <w:basedOn w:val="Normal"/>
    <w:link w:val="Corpodetexto3Char"/>
    <w:qFormat/>
    <w:rsid w:val="00A46D5F"/>
    <w:pPr>
      <w:spacing w:after="120"/>
    </w:pPr>
    <w:rPr>
      <w:sz w:val="16"/>
      <w:szCs w:val="16"/>
    </w:rPr>
  </w:style>
  <w:style w:type="character" w:customStyle="1" w:styleId="Corpodetexto3Char">
    <w:name w:val="Corpo de texto 3 Char"/>
    <w:link w:val="Corpodetexto3"/>
    <w:rsid w:val="00A46D5F"/>
    <w:rPr>
      <w:rFonts w:eastAsia="SimSun"/>
      <w:sz w:val="16"/>
      <w:szCs w:val="16"/>
      <w:lang w:eastAsia="zh-CN"/>
    </w:rPr>
  </w:style>
  <w:style w:type="paragraph" w:styleId="Ttulo">
    <w:name w:val="Title"/>
    <w:basedOn w:val="Normal"/>
    <w:next w:val="Normal"/>
    <w:link w:val="TtuloChar"/>
    <w:qFormat/>
    <w:rsid w:val="00A46D5F"/>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rsid w:val="00A46D5F"/>
    <w:rPr>
      <w:rFonts w:ascii="Calibri Light" w:eastAsia="Times New Roman" w:hAnsi="Calibri Light" w:cs="Times New Roman"/>
      <w:b/>
      <w:bCs/>
      <w:kern w:val="28"/>
      <w:sz w:val="32"/>
      <w:szCs w:val="32"/>
      <w:lang w:eastAsia="zh-CN"/>
    </w:rPr>
  </w:style>
  <w:style w:type="character" w:customStyle="1" w:styleId="AssuntodocomentrioChar">
    <w:name w:val="Assunto do comentário Char"/>
    <w:link w:val="Assuntodocomentrio"/>
    <w:rsid w:val="0086411E"/>
    <w:rPr>
      <w:b/>
      <w:bCs/>
    </w:rPr>
  </w:style>
  <w:style w:type="paragraph" w:styleId="Assuntodocomentrio">
    <w:name w:val="annotation subject"/>
    <w:basedOn w:val="Textodecomentrio"/>
    <w:next w:val="Textodecomentrio"/>
    <w:link w:val="AssuntodocomentrioChar"/>
    <w:rsid w:val="0086411E"/>
    <w:rPr>
      <w:b/>
      <w:bCs/>
    </w:rPr>
  </w:style>
  <w:style w:type="paragraph" w:styleId="Textodecomentrio">
    <w:name w:val="annotation text"/>
    <w:basedOn w:val="Normal"/>
    <w:link w:val="TextodecomentrioChar1"/>
    <w:unhideWhenUsed/>
    <w:rsid w:val="0086411E"/>
    <w:rPr>
      <w:rFonts w:eastAsia="Times New Roman"/>
      <w:sz w:val="20"/>
      <w:szCs w:val="20"/>
      <w:lang w:eastAsia="pt-BR"/>
    </w:rPr>
  </w:style>
  <w:style w:type="character" w:customStyle="1" w:styleId="TextodecomentrioChar1">
    <w:name w:val="Texto de comentário Char1"/>
    <w:basedOn w:val="Fontepargpadro"/>
    <w:link w:val="Textodecomentrio"/>
    <w:rsid w:val="0086411E"/>
  </w:style>
  <w:style w:type="character" w:styleId="nfase">
    <w:name w:val="Emphasis"/>
    <w:uiPriority w:val="20"/>
    <w:qFormat/>
    <w:rsid w:val="0086411E"/>
    <w:rPr>
      <w:i/>
      <w:iCs/>
    </w:rPr>
  </w:style>
  <w:style w:type="character" w:customStyle="1" w:styleId="TextodebaloChar">
    <w:name w:val="Texto de balão Char"/>
    <w:link w:val="Textodebalo"/>
    <w:qFormat/>
    <w:rsid w:val="0086411E"/>
    <w:rPr>
      <w:rFonts w:ascii="Segoe UI" w:hAnsi="Segoe UI" w:cs="Segoe UI"/>
      <w:sz w:val="18"/>
      <w:szCs w:val="18"/>
    </w:rPr>
  </w:style>
  <w:style w:type="paragraph" w:styleId="Textodebalo">
    <w:name w:val="Balloon Text"/>
    <w:basedOn w:val="Normal"/>
    <w:link w:val="TextodebaloChar"/>
    <w:qFormat/>
    <w:rsid w:val="0086411E"/>
    <w:rPr>
      <w:rFonts w:ascii="Segoe UI" w:eastAsia="Times New Roman" w:hAnsi="Segoe UI" w:cs="Segoe UI"/>
      <w:sz w:val="18"/>
      <w:szCs w:val="18"/>
      <w:lang w:eastAsia="pt-BR"/>
    </w:rPr>
  </w:style>
  <w:style w:type="character" w:customStyle="1" w:styleId="FiguraChar">
    <w:name w:val="Figura Char"/>
    <w:link w:val="Figura"/>
    <w:rsid w:val="0086411E"/>
    <w:rPr>
      <w:rFonts w:ascii="Arial" w:hAnsi="Arial" w:cs="Arial"/>
      <w:sz w:val="24"/>
      <w:szCs w:val="24"/>
      <w:lang w:eastAsia="en-US"/>
    </w:rPr>
  </w:style>
  <w:style w:type="paragraph" w:customStyle="1" w:styleId="Figura">
    <w:name w:val="Figura"/>
    <w:basedOn w:val="Normal"/>
    <w:link w:val="FiguraChar"/>
    <w:qFormat/>
    <w:rsid w:val="0086411E"/>
    <w:pPr>
      <w:tabs>
        <w:tab w:val="left" w:pos="567"/>
        <w:tab w:val="left" w:pos="945"/>
      </w:tabs>
      <w:spacing w:line="276" w:lineRule="auto"/>
      <w:ind w:firstLine="1080"/>
      <w:jc w:val="both"/>
    </w:pPr>
    <w:rPr>
      <w:rFonts w:ascii="Arial" w:eastAsia="Times New Roman" w:hAnsi="Arial" w:cs="Arial"/>
      <w:lang w:eastAsia="en-US"/>
    </w:rPr>
  </w:style>
  <w:style w:type="character" w:customStyle="1" w:styleId="TextodecomentrioChar">
    <w:name w:val="Texto de comentário Char"/>
    <w:rsid w:val="0086411E"/>
  </w:style>
  <w:style w:type="character" w:customStyle="1" w:styleId="st">
    <w:name w:val="st"/>
    <w:rsid w:val="0086411E"/>
  </w:style>
  <w:style w:type="character" w:customStyle="1" w:styleId="AssuntodocomentrioChar1">
    <w:name w:val="Assunto do comentário Char1"/>
    <w:rsid w:val="0086411E"/>
    <w:rPr>
      <w:b/>
      <w:bCs/>
    </w:rPr>
  </w:style>
  <w:style w:type="character" w:customStyle="1" w:styleId="CabealhoChar1">
    <w:name w:val="Cabeçalho Char1"/>
    <w:uiPriority w:val="99"/>
    <w:rsid w:val="0086411E"/>
    <w:rPr>
      <w:sz w:val="24"/>
      <w:szCs w:val="24"/>
    </w:rPr>
  </w:style>
  <w:style w:type="character" w:customStyle="1" w:styleId="Corpodetexto3Char1">
    <w:name w:val="Corpo de texto 3 Char1"/>
    <w:semiHidden/>
    <w:rsid w:val="0086411E"/>
    <w:rPr>
      <w:sz w:val="16"/>
      <w:szCs w:val="16"/>
    </w:rPr>
  </w:style>
  <w:style w:type="character" w:customStyle="1" w:styleId="RodapChar1">
    <w:name w:val="Rodapé Char1"/>
    <w:uiPriority w:val="99"/>
    <w:rsid w:val="0086411E"/>
    <w:rPr>
      <w:sz w:val="24"/>
      <w:szCs w:val="24"/>
    </w:rPr>
  </w:style>
  <w:style w:type="character" w:customStyle="1" w:styleId="TextodebaloChar1">
    <w:name w:val="Texto de balão Char1"/>
    <w:rsid w:val="0086411E"/>
    <w:rPr>
      <w:rFonts w:ascii="Segoe UI" w:eastAsia="SimSun" w:hAnsi="Segoe UI" w:cs="Segoe UI"/>
      <w:sz w:val="18"/>
      <w:szCs w:val="18"/>
      <w:lang w:eastAsia="zh-CN"/>
    </w:rPr>
  </w:style>
  <w:style w:type="character" w:customStyle="1" w:styleId="UnresolvedMention">
    <w:name w:val="Unresolved Mention"/>
    <w:uiPriority w:val="99"/>
    <w:semiHidden/>
    <w:unhideWhenUsed/>
    <w:rsid w:val="0086411E"/>
    <w:rPr>
      <w:color w:val="605E5C"/>
      <w:shd w:val="clear" w:color="auto" w:fill="E1DFDD"/>
    </w:rPr>
  </w:style>
  <w:style w:type="character" w:styleId="Forte">
    <w:name w:val="Strong"/>
    <w:uiPriority w:val="22"/>
    <w:qFormat/>
    <w:rsid w:val="0086411E"/>
    <w:rPr>
      <w:b/>
      <w:bCs/>
    </w:rPr>
  </w:style>
  <w:style w:type="paragraph" w:styleId="Reviso">
    <w:name w:val="Revision"/>
    <w:hidden/>
    <w:uiPriority w:val="99"/>
    <w:unhideWhenUsed/>
    <w:rsid w:val="0086411E"/>
    <w:rPr>
      <w:sz w:val="24"/>
      <w:szCs w:val="24"/>
    </w:rPr>
  </w:style>
  <w:style w:type="paragraph" w:styleId="SemEspaamento">
    <w:name w:val="No Spacing"/>
    <w:uiPriority w:val="1"/>
    <w:qFormat/>
    <w:rsid w:val="0086411E"/>
    <w:rPr>
      <w:rFonts w:ascii="Calibri" w:eastAsia="Calibri" w:hAnsi="Calibri"/>
      <w:sz w:val="22"/>
      <w:szCs w:val="22"/>
      <w:lang w:eastAsia="en-US"/>
    </w:rPr>
  </w:style>
  <w:style w:type="paragraph" w:styleId="Subttulo">
    <w:name w:val="Subtitle"/>
    <w:basedOn w:val="Normal"/>
    <w:next w:val="Normal"/>
    <w:link w:val="SubttuloChar"/>
    <w:qFormat/>
    <w:rsid w:val="0086411E"/>
    <w:pPr>
      <w:spacing w:after="60"/>
      <w:jc w:val="center"/>
      <w:outlineLvl w:val="1"/>
    </w:pPr>
    <w:rPr>
      <w:rFonts w:ascii="Cambria" w:eastAsia="Times New Roman" w:hAnsi="Cambria"/>
      <w:lang w:val="x-none" w:eastAsia="x-none"/>
    </w:rPr>
  </w:style>
  <w:style w:type="character" w:customStyle="1" w:styleId="SubttuloChar">
    <w:name w:val="Subtítulo Char"/>
    <w:link w:val="Subttulo"/>
    <w:rsid w:val="0086411E"/>
    <w:rPr>
      <w:rFonts w:ascii="Cambria" w:hAnsi="Cambria"/>
      <w:sz w:val="24"/>
      <w:szCs w:val="24"/>
      <w:lang w:val="x-none" w:eastAsia="x-none"/>
    </w:rPr>
  </w:style>
  <w:style w:type="character" w:styleId="HiperlinkVisitado">
    <w:name w:val="FollowedHyperlink"/>
    <w:unhideWhenUsed/>
    <w:rsid w:val="0086411E"/>
    <w:rPr>
      <w:color w:val="954F72"/>
      <w:u w:val="single"/>
    </w:rPr>
  </w:style>
  <w:style w:type="table" w:customStyle="1" w:styleId="Tabelacomgrade1">
    <w:name w:val="Tabela com grade1"/>
    <w:basedOn w:val="Tabelanormal"/>
    <w:next w:val="Tabelacomgrade"/>
    <w:rsid w:val="00E7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9B1016"/>
    <w:rPr>
      <w:rFonts w:eastAsia="Times New Roman"/>
      <w:sz w:val="20"/>
      <w:szCs w:val="20"/>
      <w:lang w:eastAsia="pt-BR"/>
    </w:rPr>
  </w:style>
  <w:style w:type="character" w:customStyle="1" w:styleId="TextodenotaderodapChar">
    <w:name w:val="Texto de nota de rodapé Char"/>
    <w:basedOn w:val="Fontepargpadro"/>
    <w:link w:val="Textodenotaderodap"/>
    <w:rsid w:val="009B1016"/>
  </w:style>
  <w:style w:type="character" w:styleId="Refdenotaderodap">
    <w:name w:val="footnote reference"/>
    <w:rsid w:val="009B1016"/>
    <w:rPr>
      <w:vertAlign w:val="superscript"/>
    </w:rPr>
  </w:style>
  <w:style w:type="paragraph" w:styleId="CabealhodoSumrio">
    <w:name w:val="TOC Heading"/>
    <w:basedOn w:val="Ttulo1"/>
    <w:next w:val="Normal"/>
    <w:uiPriority w:val="39"/>
    <w:unhideWhenUsed/>
    <w:qFormat/>
    <w:rsid w:val="003B3C5E"/>
    <w:pPr>
      <w:spacing w:before="240" w:line="259" w:lineRule="auto"/>
      <w:jc w:val="left"/>
      <w:outlineLvl w:val="9"/>
    </w:pPr>
    <w:rPr>
      <w:rFonts w:ascii="Calibri Light" w:hAnsi="Calibri Light"/>
      <w:b w:val="0"/>
      <w:bCs w:val="0"/>
      <w:color w:val="2E74B5"/>
      <w:sz w:val="32"/>
      <w:szCs w:val="32"/>
      <w:lang w:eastAsia="pt-BR"/>
    </w:rPr>
  </w:style>
  <w:style w:type="paragraph" w:styleId="Sumrio1">
    <w:name w:val="toc 1"/>
    <w:basedOn w:val="Normal"/>
    <w:next w:val="Normal"/>
    <w:autoRedefine/>
    <w:uiPriority w:val="39"/>
    <w:rsid w:val="00BB1B8B"/>
    <w:pPr>
      <w:tabs>
        <w:tab w:val="right" w:leader="dot" w:pos="9854"/>
      </w:tabs>
      <w:spacing w:after="160" w:line="276" w:lineRule="auto"/>
      <w:jc w:val="both"/>
    </w:pPr>
    <w:rPr>
      <w:noProof/>
    </w:rPr>
  </w:style>
  <w:style w:type="character" w:customStyle="1" w:styleId="Ttulo3Char">
    <w:name w:val="Título 3 Char"/>
    <w:link w:val="Ttulo3"/>
    <w:semiHidden/>
    <w:rsid w:val="00AF3C00"/>
    <w:rPr>
      <w:rFonts w:ascii="Calibri Light" w:hAnsi="Calibri Light"/>
      <w:b/>
      <w:bCs/>
      <w:sz w:val="26"/>
      <w:szCs w:val="26"/>
    </w:rPr>
  </w:style>
  <w:style w:type="paragraph" w:styleId="Legenda">
    <w:name w:val="caption"/>
    <w:basedOn w:val="Normal"/>
    <w:next w:val="Normal"/>
    <w:unhideWhenUsed/>
    <w:qFormat/>
    <w:rsid w:val="00AF3C00"/>
    <w:rPr>
      <w:rFonts w:eastAsia="Times New Roman"/>
      <w:b/>
      <w:bCs/>
      <w:sz w:val="20"/>
      <w:szCs w:val="20"/>
      <w:lang w:eastAsia="pt-BR"/>
    </w:rPr>
  </w:style>
  <w:style w:type="paragraph" w:styleId="Textodenotadefim">
    <w:name w:val="endnote text"/>
    <w:basedOn w:val="Normal"/>
    <w:link w:val="TextodenotadefimChar"/>
    <w:rsid w:val="00AF3C00"/>
    <w:rPr>
      <w:rFonts w:eastAsia="Times New Roman"/>
      <w:sz w:val="20"/>
      <w:szCs w:val="20"/>
      <w:lang w:eastAsia="pt-BR"/>
    </w:rPr>
  </w:style>
  <w:style w:type="character" w:customStyle="1" w:styleId="TextodenotadefimChar">
    <w:name w:val="Texto de nota de fim Char"/>
    <w:basedOn w:val="Fontepargpadro"/>
    <w:link w:val="Textodenotadefim"/>
    <w:rsid w:val="00AF3C00"/>
  </w:style>
  <w:style w:type="character" w:styleId="Refdenotadefim">
    <w:name w:val="endnote reference"/>
    <w:rsid w:val="00AF3C00"/>
    <w:rPr>
      <w:vertAlign w:val="superscript"/>
    </w:rPr>
  </w:style>
  <w:style w:type="numbering" w:customStyle="1" w:styleId="Semlista1">
    <w:name w:val="Sem lista1"/>
    <w:next w:val="Semlista"/>
    <w:uiPriority w:val="99"/>
    <w:semiHidden/>
    <w:unhideWhenUsed/>
    <w:rsid w:val="00760878"/>
  </w:style>
  <w:style w:type="character" w:customStyle="1" w:styleId="WW8Num1z0">
    <w:name w:val="WW8Num1z0"/>
    <w:rsid w:val="00760878"/>
    <w:rPr>
      <w:rFonts w:ascii="Symbol" w:hAnsi="Symbol" w:cs="Symbol" w:hint="default"/>
    </w:rPr>
  </w:style>
  <w:style w:type="character" w:customStyle="1" w:styleId="WW8Num2z0">
    <w:name w:val="WW8Num2z0"/>
    <w:rsid w:val="00760878"/>
    <w:rPr>
      <w:rFonts w:ascii="Wingdings 2" w:hAnsi="Wingdings 2" w:cs="Wingdings 2" w:hint="default"/>
    </w:rPr>
  </w:style>
  <w:style w:type="character" w:customStyle="1" w:styleId="Fontepargpadro1">
    <w:name w:val="Fonte parág. padrão1"/>
    <w:rsid w:val="00760878"/>
  </w:style>
  <w:style w:type="character" w:customStyle="1" w:styleId="Refdecomentrio1">
    <w:name w:val="Ref. de comentário1"/>
    <w:rsid w:val="00760878"/>
    <w:rPr>
      <w:sz w:val="16"/>
      <w:szCs w:val="16"/>
    </w:rPr>
  </w:style>
  <w:style w:type="character" w:customStyle="1" w:styleId="MenoPendente1">
    <w:name w:val="Menção Pendente1"/>
    <w:uiPriority w:val="99"/>
    <w:rsid w:val="00760878"/>
    <w:rPr>
      <w:color w:val="605E5C"/>
      <w:shd w:val="clear" w:color="auto" w:fill="E1DFDD"/>
    </w:rPr>
  </w:style>
  <w:style w:type="paragraph" w:customStyle="1" w:styleId="Ttulo10">
    <w:name w:val="Título1"/>
    <w:basedOn w:val="Normal"/>
    <w:next w:val="Corpodetexto"/>
    <w:rsid w:val="00760878"/>
    <w:pPr>
      <w:keepNext/>
      <w:suppressAutoHyphens/>
      <w:spacing w:before="240" w:after="120"/>
    </w:pPr>
    <w:rPr>
      <w:rFonts w:ascii="Liberation Sans" w:eastAsia="Microsoft YaHei" w:hAnsi="Liberation Sans" w:cs="Mangal"/>
      <w:sz w:val="28"/>
      <w:szCs w:val="28"/>
    </w:rPr>
  </w:style>
  <w:style w:type="paragraph" w:styleId="Lista">
    <w:name w:val="List"/>
    <w:basedOn w:val="Corpodetexto"/>
    <w:rsid w:val="00760878"/>
    <w:pPr>
      <w:suppressAutoHyphens/>
    </w:pPr>
    <w:rPr>
      <w:rFonts w:cs="Mangal"/>
      <w:lang w:eastAsia="zh-CN"/>
    </w:rPr>
  </w:style>
  <w:style w:type="paragraph" w:customStyle="1" w:styleId="ndice">
    <w:name w:val="Índice"/>
    <w:basedOn w:val="Normal"/>
    <w:qFormat/>
    <w:rsid w:val="00760878"/>
    <w:pPr>
      <w:suppressLineNumbers/>
      <w:suppressAutoHyphens/>
    </w:pPr>
    <w:rPr>
      <w:rFonts w:eastAsia="Times New Roman" w:cs="Mangal"/>
    </w:rPr>
  </w:style>
  <w:style w:type="paragraph" w:customStyle="1" w:styleId="Corpodetexto31">
    <w:name w:val="Corpo de texto 31"/>
    <w:basedOn w:val="Normal"/>
    <w:rsid w:val="00760878"/>
    <w:pPr>
      <w:suppressAutoHyphens/>
    </w:pPr>
    <w:rPr>
      <w:rFonts w:eastAsia="Times New Roman"/>
    </w:rPr>
  </w:style>
  <w:style w:type="paragraph" w:customStyle="1" w:styleId="Textodecomentrio1">
    <w:name w:val="Texto de comentário1"/>
    <w:basedOn w:val="Normal"/>
    <w:rsid w:val="00760878"/>
    <w:pPr>
      <w:suppressAutoHyphens/>
    </w:pPr>
    <w:rPr>
      <w:rFonts w:eastAsia="Times New Roman"/>
      <w:sz w:val="20"/>
      <w:szCs w:val="20"/>
    </w:rPr>
  </w:style>
  <w:style w:type="paragraph" w:customStyle="1" w:styleId="TableBodyText">
    <w:name w:val="Table Body Text"/>
    <w:basedOn w:val="Normal"/>
    <w:rsid w:val="00760878"/>
    <w:pPr>
      <w:suppressAutoHyphens/>
    </w:pPr>
    <w:rPr>
      <w:rFonts w:eastAsia="Times New Roman"/>
      <w:sz w:val="16"/>
    </w:rPr>
  </w:style>
  <w:style w:type="paragraph" w:customStyle="1" w:styleId="Contedodatabela">
    <w:name w:val="Conteúdo da tabela"/>
    <w:basedOn w:val="Normal"/>
    <w:rsid w:val="00760878"/>
    <w:pPr>
      <w:suppressLineNumbers/>
      <w:suppressAutoHyphens/>
    </w:pPr>
    <w:rPr>
      <w:rFonts w:eastAsia="Times New Roman"/>
    </w:rPr>
  </w:style>
  <w:style w:type="paragraph" w:customStyle="1" w:styleId="Ttulodetabela">
    <w:name w:val="Título de tabela"/>
    <w:basedOn w:val="Contedodatabela"/>
    <w:rsid w:val="00760878"/>
    <w:pPr>
      <w:jc w:val="center"/>
    </w:pPr>
    <w:rPr>
      <w:b/>
      <w:bCs/>
    </w:rPr>
  </w:style>
  <w:style w:type="character" w:styleId="TextodoEspaoReservado">
    <w:name w:val="Placeholder Text"/>
    <w:uiPriority w:val="99"/>
    <w:semiHidden/>
    <w:rsid w:val="00760878"/>
    <w:rPr>
      <w:color w:val="808080"/>
    </w:rPr>
  </w:style>
  <w:style w:type="table" w:customStyle="1" w:styleId="Tabelacomgrade2">
    <w:name w:val="Tabela com grade2"/>
    <w:basedOn w:val="Tabelanormal"/>
    <w:next w:val="Tabelacomgrade"/>
    <w:uiPriority w:val="39"/>
    <w:rsid w:val="0076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60878"/>
    <w:pPr>
      <w:spacing w:before="100" w:beforeAutospacing="1" w:after="100" w:afterAutospacing="1"/>
    </w:pPr>
    <w:rPr>
      <w:rFonts w:eastAsia="Times New Roman"/>
      <w:lang w:eastAsia="pt-BR"/>
    </w:rPr>
  </w:style>
  <w:style w:type="paragraph" w:customStyle="1" w:styleId="xl65">
    <w:name w:val="xl65"/>
    <w:basedOn w:val="Normal"/>
    <w:rsid w:val="00760878"/>
    <w:pPr>
      <w:spacing w:before="100" w:beforeAutospacing="1" w:after="100" w:afterAutospacing="1"/>
      <w:jc w:val="center"/>
    </w:pPr>
    <w:rPr>
      <w:rFonts w:eastAsia="Times New Roman"/>
      <w:lang w:eastAsia="pt-BR"/>
    </w:rPr>
  </w:style>
  <w:style w:type="paragraph" w:customStyle="1" w:styleId="xl66">
    <w:name w:val="xl66"/>
    <w:basedOn w:val="Normal"/>
    <w:rsid w:val="00760878"/>
    <w:pPr>
      <w:spacing w:before="100" w:beforeAutospacing="1" w:after="100" w:afterAutospacing="1"/>
      <w:jc w:val="center"/>
    </w:pPr>
    <w:rPr>
      <w:rFonts w:eastAsia="Times New Roman"/>
      <w:sz w:val="16"/>
      <w:szCs w:val="16"/>
      <w:lang w:eastAsia="pt-BR"/>
    </w:rPr>
  </w:style>
  <w:style w:type="paragraph" w:customStyle="1" w:styleId="xl67">
    <w:name w:val="xl67"/>
    <w:basedOn w:val="Normal"/>
    <w:rsid w:val="00760878"/>
    <w:pPr>
      <w:spacing w:before="100" w:beforeAutospacing="1" w:after="100" w:afterAutospacing="1"/>
      <w:jc w:val="center"/>
    </w:pPr>
    <w:rPr>
      <w:rFonts w:eastAsia="Times New Roman"/>
      <w:sz w:val="16"/>
      <w:szCs w:val="16"/>
      <w:lang w:eastAsia="pt-BR"/>
    </w:rPr>
  </w:style>
  <w:style w:type="paragraph" w:customStyle="1" w:styleId="xl68">
    <w:name w:val="xl68"/>
    <w:basedOn w:val="Normal"/>
    <w:rsid w:val="00760878"/>
    <w:pPr>
      <w:spacing w:before="100" w:beforeAutospacing="1" w:after="100" w:afterAutospacing="1"/>
      <w:jc w:val="center"/>
    </w:pPr>
    <w:rPr>
      <w:rFonts w:eastAsia="Times New Roman"/>
      <w:b/>
      <w:bCs/>
      <w:sz w:val="16"/>
      <w:szCs w:val="16"/>
      <w:lang w:eastAsia="pt-BR"/>
    </w:rPr>
  </w:style>
  <w:style w:type="paragraph" w:customStyle="1" w:styleId="TextBody">
    <w:name w:val="Text Body"/>
    <w:basedOn w:val="Normal"/>
    <w:rsid w:val="00376DB9"/>
    <w:pPr>
      <w:ind w:firstLine="227"/>
      <w:jc w:val="both"/>
    </w:pPr>
    <w:rPr>
      <w:rFonts w:eastAsia="Times New Roman"/>
      <w:sz w:val="20"/>
      <w:lang w:eastAsia="pt-BR"/>
    </w:rPr>
  </w:style>
  <w:style w:type="numbering" w:customStyle="1" w:styleId="Semlista2">
    <w:name w:val="Sem lista2"/>
    <w:next w:val="Semlista"/>
    <w:uiPriority w:val="99"/>
    <w:semiHidden/>
    <w:unhideWhenUsed/>
    <w:rsid w:val="001877B5"/>
  </w:style>
  <w:style w:type="character" w:customStyle="1" w:styleId="fontstyle01">
    <w:name w:val="fontstyle01"/>
    <w:qFormat/>
    <w:rsid w:val="001877B5"/>
    <w:rPr>
      <w:rFonts w:ascii="Times New Roman" w:hAnsi="Times New Roman" w:cs="Times New Roman" w:hint="default"/>
      <w:b w:val="0"/>
      <w:bCs w:val="0"/>
      <w:i w:val="0"/>
      <w:iCs w:val="0"/>
      <w:color w:val="000000"/>
      <w:sz w:val="24"/>
      <w:szCs w:val="24"/>
    </w:rPr>
  </w:style>
  <w:style w:type="numbering" w:customStyle="1" w:styleId="Semlista3">
    <w:name w:val="Sem lista3"/>
    <w:next w:val="Semlista"/>
    <w:uiPriority w:val="99"/>
    <w:semiHidden/>
    <w:unhideWhenUsed/>
    <w:rsid w:val="007F67AC"/>
  </w:style>
  <w:style w:type="table" w:customStyle="1" w:styleId="Tabelacomgrade3">
    <w:name w:val="Tabela com grade3"/>
    <w:basedOn w:val="Tabelanormal"/>
    <w:next w:val="Tabelacomgrade"/>
    <w:uiPriority w:val="59"/>
    <w:rsid w:val="007F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
    <w:name w:val="tr"/>
    <w:rsid w:val="007F67AC"/>
  </w:style>
  <w:style w:type="paragraph" w:styleId="Corpodetexto2">
    <w:name w:val="Body Text 2"/>
    <w:basedOn w:val="Normal"/>
    <w:link w:val="Corpodetexto2Char"/>
    <w:rsid w:val="00837EE4"/>
    <w:pPr>
      <w:spacing w:after="120" w:line="480" w:lineRule="auto"/>
    </w:pPr>
    <w:rPr>
      <w:rFonts w:eastAsia="Times New Roman"/>
      <w:lang w:eastAsia="pt-BR"/>
    </w:rPr>
  </w:style>
  <w:style w:type="character" w:customStyle="1" w:styleId="Corpodetexto2Char">
    <w:name w:val="Corpo de texto 2 Char"/>
    <w:link w:val="Corpodetexto2"/>
    <w:rsid w:val="00837EE4"/>
    <w:rPr>
      <w:sz w:val="24"/>
      <w:szCs w:val="24"/>
    </w:rPr>
  </w:style>
  <w:style w:type="table" w:styleId="TabeladeGrade5Escura">
    <w:name w:val="Grid Table 5 Dark"/>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eladeGrade5Escura-nfase1">
    <w:name w:val="Grid Table 5 Dark Accent 1"/>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eladeGrade5Escura-nfase5">
    <w:name w:val="Grid Table 5 Dark Accent 5"/>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Sumrio2">
    <w:name w:val="toc 2"/>
    <w:basedOn w:val="Normal"/>
    <w:next w:val="Normal"/>
    <w:autoRedefine/>
    <w:uiPriority w:val="39"/>
    <w:rsid w:val="00954D4F"/>
    <w:pPr>
      <w:ind w:left="240"/>
    </w:pPr>
  </w:style>
  <w:style w:type="table" w:customStyle="1" w:styleId="Tabelacomgrade4">
    <w:name w:val="Tabela com grade4"/>
    <w:basedOn w:val="Tabelanormal"/>
    <w:next w:val="Tabelacomgrade"/>
    <w:uiPriority w:val="59"/>
    <w:rsid w:val="00CB55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B55DA"/>
    <w:pPr>
      <w:spacing w:before="100" w:beforeAutospacing="1" w:after="100" w:afterAutospacing="1"/>
    </w:pPr>
    <w:rPr>
      <w:rFonts w:eastAsia="Times New Roman"/>
      <w:lang w:eastAsia="pt-BR"/>
    </w:rPr>
  </w:style>
  <w:style w:type="paragraph" w:customStyle="1" w:styleId="Normal1">
    <w:name w:val="Normal1"/>
    <w:rsid w:val="0048613D"/>
    <w:rPr>
      <w:sz w:val="24"/>
      <w:szCs w:val="24"/>
    </w:rPr>
  </w:style>
  <w:style w:type="paragraph" w:customStyle="1" w:styleId="Standard">
    <w:name w:val="Standard"/>
    <w:rsid w:val="00F5732E"/>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DecimalAligned">
    <w:name w:val="Decimal Aligned"/>
    <w:basedOn w:val="Normal"/>
    <w:uiPriority w:val="40"/>
    <w:qFormat/>
    <w:rsid w:val="00F5732E"/>
    <w:pPr>
      <w:tabs>
        <w:tab w:val="decimal" w:pos="360"/>
      </w:tabs>
      <w:spacing w:after="200" w:line="276" w:lineRule="auto"/>
    </w:pPr>
    <w:rPr>
      <w:rFonts w:ascii="Calibri" w:eastAsia="Calibri" w:hAnsi="Calibri"/>
      <w:sz w:val="22"/>
      <w:szCs w:val="22"/>
      <w:lang w:eastAsia="pt-BR"/>
    </w:rPr>
  </w:style>
  <w:style w:type="character" w:styleId="nfaseSutil">
    <w:name w:val="Subtle Emphasis"/>
    <w:uiPriority w:val="19"/>
    <w:qFormat/>
    <w:rsid w:val="00F5732E"/>
    <w:rPr>
      <w:i/>
      <w:iCs/>
      <w:color w:val="7F7F7F"/>
    </w:rPr>
  </w:style>
  <w:style w:type="table" w:styleId="SombreamentoMdio2-nfase5">
    <w:name w:val="Medium Shading 2 Accent 5"/>
    <w:basedOn w:val="Tabelanormal"/>
    <w:uiPriority w:val="64"/>
    <w:rsid w:val="00F5732E"/>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elacomgrade5">
    <w:name w:val="Tabela com grade5"/>
    <w:basedOn w:val="Tabelanormal"/>
    <w:next w:val="Tabelacomgrade"/>
    <w:qFormat/>
    <w:rsid w:val="00574C3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nhideWhenUsed/>
    <w:rsid w:val="00087231"/>
    <w:pPr>
      <w:spacing w:after="120"/>
      <w:ind w:left="283"/>
    </w:pPr>
    <w:rPr>
      <w:rFonts w:eastAsia="Times New Roman"/>
      <w:lang w:eastAsia="pt-BR"/>
    </w:rPr>
  </w:style>
  <w:style w:type="character" w:customStyle="1" w:styleId="RecuodecorpodetextoChar">
    <w:name w:val="Recuo de corpo de texto Char"/>
    <w:link w:val="Recuodecorpodetexto"/>
    <w:rsid w:val="00087231"/>
    <w:rPr>
      <w:sz w:val="24"/>
      <w:szCs w:val="24"/>
    </w:rPr>
  </w:style>
  <w:style w:type="character" w:customStyle="1" w:styleId="MenoPendente2">
    <w:name w:val="Menção Pendente2"/>
    <w:uiPriority w:val="99"/>
    <w:semiHidden/>
    <w:unhideWhenUsed/>
    <w:rsid w:val="00F034A7"/>
    <w:rPr>
      <w:color w:val="605E5C"/>
      <w:shd w:val="clear" w:color="auto" w:fill="E1DFDD"/>
    </w:rPr>
  </w:style>
  <w:style w:type="character" w:customStyle="1" w:styleId="LinkdaInternet">
    <w:name w:val="Link da Internet"/>
    <w:rsid w:val="001F2DDF"/>
    <w:rPr>
      <w:color w:val="0000FF"/>
      <w:u w:val="single"/>
    </w:rPr>
  </w:style>
  <w:style w:type="character" w:customStyle="1" w:styleId="ListLabel1">
    <w:name w:val="ListLabel 1"/>
    <w:qFormat/>
    <w:rsid w:val="001F2DDF"/>
    <w:rPr>
      <w:sz w:val="20"/>
      <w:szCs w:val="20"/>
    </w:rPr>
  </w:style>
  <w:style w:type="character" w:customStyle="1" w:styleId="ListLabel2">
    <w:name w:val="ListLabel 2"/>
    <w:qFormat/>
    <w:rsid w:val="001F2DDF"/>
    <w:rPr>
      <w:sz w:val="20"/>
      <w:szCs w:val="20"/>
      <w:shd w:val="clear" w:color="auto" w:fill="FFFFFF"/>
    </w:rPr>
  </w:style>
  <w:style w:type="character" w:customStyle="1" w:styleId="ListLabel3">
    <w:name w:val="ListLabel 3"/>
    <w:qFormat/>
    <w:rsid w:val="001F2DDF"/>
    <w:rPr>
      <w:sz w:val="20"/>
      <w:szCs w:val="20"/>
    </w:rPr>
  </w:style>
  <w:style w:type="character" w:customStyle="1" w:styleId="ListLabel4">
    <w:name w:val="ListLabel 4"/>
    <w:qFormat/>
    <w:rsid w:val="001F2DDF"/>
    <w:rPr>
      <w:sz w:val="20"/>
      <w:szCs w:val="20"/>
      <w:highlight w:val="white"/>
    </w:rPr>
  </w:style>
  <w:style w:type="character" w:customStyle="1" w:styleId="ListLabel5">
    <w:name w:val="ListLabel 5"/>
    <w:qFormat/>
    <w:rsid w:val="001F2DDF"/>
    <w:rPr>
      <w:sz w:val="20"/>
      <w:szCs w:val="20"/>
    </w:rPr>
  </w:style>
  <w:style w:type="character" w:customStyle="1" w:styleId="ListLabel6">
    <w:name w:val="ListLabel 6"/>
    <w:qFormat/>
    <w:rsid w:val="001F2DDF"/>
    <w:rPr>
      <w:sz w:val="20"/>
      <w:szCs w:val="20"/>
      <w:highlight w:val="white"/>
    </w:rPr>
  </w:style>
  <w:style w:type="character" w:customStyle="1" w:styleId="fontstyle21">
    <w:name w:val="fontstyle21"/>
    <w:rsid w:val="001F2DDF"/>
    <w:rPr>
      <w:rFonts w:ascii="CambriaMath" w:hAnsi="CambriaMath" w:hint="default"/>
      <w:b w:val="0"/>
      <w:bCs w:val="0"/>
      <w:i w:val="0"/>
      <w:iCs w:val="0"/>
      <w:color w:val="000000"/>
      <w:sz w:val="18"/>
      <w:szCs w:val="18"/>
    </w:rPr>
  </w:style>
  <w:style w:type="paragraph" w:customStyle="1" w:styleId="CodigoG">
    <w:name w:val="CodigoG"/>
    <w:basedOn w:val="Normal"/>
    <w:qFormat/>
    <w:rsid w:val="00490083"/>
    <w:pPr>
      <w:jc w:val="both"/>
    </w:pPr>
    <w:rPr>
      <w:rFonts w:ascii="Courier New" w:eastAsia="Times New Roman" w:hAnsi="Courier New"/>
      <w:sz w:val="18"/>
      <w:szCs w:val="20"/>
      <w:lang w:eastAsia="pt-BR"/>
    </w:rPr>
  </w:style>
  <w:style w:type="character" w:styleId="Nmerodelinha">
    <w:name w:val="line number"/>
    <w:rsid w:val="00490083"/>
  </w:style>
  <w:style w:type="table" w:customStyle="1" w:styleId="Tabelacomgrade6">
    <w:name w:val="Tabela com grade6"/>
    <w:basedOn w:val="Tabelanormal"/>
    <w:next w:val="Tabelacomgrade"/>
    <w:rsid w:val="00294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12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8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4299</Words>
  <Characters>23219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aureliano da silva</dc:creator>
  <cp:keywords/>
  <cp:lastModifiedBy>Felipe Moreira</cp:lastModifiedBy>
  <cp:revision>11</cp:revision>
  <cp:lastPrinted>2019-12-09T19:32:00Z</cp:lastPrinted>
  <dcterms:created xsi:type="dcterms:W3CDTF">2020-08-19T18:25:00Z</dcterms:created>
  <dcterms:modified xsi:type="dcterms:W3CDTF">2021-12-13T13:32:00Z</dcterms:modified>
</cp:coreProperties>
</file>